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930"/>
        <w:rPr>
          <w:rFonts w:ascii="Times New Roman"/>
          <w:sz w:val="20"/>
        </w:rPr>
      </w:pPr>
      <w:r>
        <w:rPr>
          <w:rFonts w:ascii="Times New Roman"/>
          <w:sz w:val="20"/>
        </w:rPr>
        <w:pict>
          <v:group style="width:290pt;height:20pt;mso-position-horizontal-relative:char;mso-position-vertical-relative:line" coordorigin="0,0" coordsize="5800,400">
            <v:shape style="position:absolute;left:0;top:0;width:5800;height:400" type="#_x0000_t75" stroked="false">
              <v:imagedata r:id="rId6" o:title=""/>
            </v:shape>
            <v:shape style="position:absolute;left:0;top:0;width:5800;height:400" type="#_x0000_t202" filled="false" stroked="false">
              <v:textbox inset="0,0,0,0">
                <w:txbxContent>
                  <w:p>
                    <w:pPr>
                      <w:spacing w:before="106"/>
                      <w:ind w:left="240" w:right="0" w:firstLine="0"/>
                      <w:jc w:val="left"/>
                      <w:rPr>
                        <w:rFonts w:ascii="Courier New"/>
                        <w:sz w:val="16"/>
                      </w:rPr>
                    </w:pPr>
                    <w:r>
                      <w:rPr>
                        <w:rFonts w:ascii="Courier New"/>
                        <w:color w:val="FF0000"/>
                        <w:sz w:val="16"/>
                      </w:rPr>
                      <w:t>m_pi.AOODGEFID.REGISTRO UFFICIALE.U.0050636.27-12-2021</w:t>
                    </w:r>
                  </w:p>
                </w:txbxContent>
              </v:textbox>
              <w10:wrap type="none"/>
            </v:shape>
          </v:group>
        </w:pict>
      </w:r>
      <w:r>
        <w:rPr>
          <w:rFonts w:ascii="Times New Roman"/>
          <w:sz w:val="20"/>
        </w:rPr>
      </w:r>
    </w:p>
    <w:p>
      <w:pPr>
        <w:pStyle w:val="BodyText"/>
        <w:spacing w:before="9"/>
        <w:rPr>
          <w:rFonts w:ascii="Times New Roman"/>
          <w:sz w:val="10"/>
        </w:rPr>
      </w:pPr>
    </w:p>
    <w:p>
      <w:pPr>
        <w:tabs>
          <w:tab w:pos="8208" w:val="left" w:leader="none"/>
        </w:tabs>
        <w:spacing w:line="240" w:lineRule="auto"/>
        <w:ind w:left="222" w:right="0" w:firstLine="0"/>
        <w:rPr>
          <w:rFonts w:ascii="Times New Roman"/>
          <w:sz w:val="20"/>
        </w:rPr>
      </w:pPr>
      <w:r>
        <w:rPr>
          <w:rFonts w:ascii="Times New Roman"/>
          <w:sz w:val="20"/>
        </w:rPr>
        <w:drawing>
          <wp:inline distT="0" distB="0" distL="0" distR="0">
            <wp:extent cx="2224513" cy="536448"/>
            <wp:effectExtent l="0" t="0" r="0" b="0"/>
            <wp:docPr id="1" name="image2.png" descr=""/>
            <wp:cNvGraphicFramePr>
              <a:graphicFrameLocks noChangeAspect="1"/>
            </wp:cNvGraphicFramePr>
            <a:graphic>
              <a:graphicData uri="http://schemas.openxmlformats.org/drawingml/2006/picture">
                <pic:pic>
                  <pic:nvPicPr>
                    <pic:cNvPr id="2" name="image2.png"/>
                    <pic:cNvPicPr/>
                  </pic:nvPicPr>
                  <pic:blipFill>
                    <a:blip r:embed="rId7" cstate="print"/>
                    <a:stretch>
                      <a:fillRect/>
                    </a:stretch>
                  </pic:blipFill>
                  <pic:spPr>
                    <a:xfrm>
                      <a:off x="0" y="0"/>
                      <a:ext cx="2224513" cy="536448"/>
                    </a:xfrm>
                    <a:prstGeom prst="rect">
                      <a:avLst/>
                    </a:prstGeom>
                  </pic:spPr>
                </pic:pic>
              </a:graphicData>
            </a:graphic>
          </wp:inline>
        </w:drawing>
      </w:r>
      <w:r>
        <w:rPr>
          <w:rFonts w:ascii="Times New Roman"/>
          <w:sz w:val="20"/>
        </w:rPr>
      </w:r>
      <w:r>
        <w:rPr>
          <w:rFonts w:ascii="Times New Roman"/>
          <w:sz w:val="20"/>
        </w:rPr>
        <w:tab/>
      </w:r>
      <w:r>
        <w:rPr>
          <w:rFonts w:ascii="Times New Roman"/>
          <w:position w:val="8"/>
          <w:sz w:val="20"/>
        </w:rPr>
        <w:drawing>
          <wp:inline distT="0" distB="0" distL="0" distR="0">
            <wp:extent cx="826910" cy="485775"/>
            <wp:effectExtent l="0" t="0" r="0" b="0"/>
            <wp:docPr id="3" name="image3.jpeg" descr=""/>
            <wp:cNvGraphicFramePr>
              <a:graphicFrameLocks noChangeAspect="1"/>
            </wp:cNvGraphicFramePr>
            <a:graphic>
              <a:graphicData uri="http://schemas.openxmlformats.org/drawingml/2006/picture">
                <pic:pic>
                  <pic:nvPicPr>
                    <pic:cNvPr id="4" name="image3.jpeg"/>
                    <pic:cNvPicPr/>
                  </pic:nvPicPr>
                  <pic:blipFill>
                    <a:blip r:embed="rId8" cstate="print"/>
                    <a:stretch>
                      <a:fillRect/>
                    </a:stretch>
                  </pic:blipFill>
                  <pic:spPr>
                    <a:xfrm>
                      <a:off x="0" y="0"/>
                      <a:ext cx="826910" cy="485775"/>
                    </a:xfrm>
                    <a:prstGeom prst="rect">
                      <a:avLst/>
                    </a:prstGeom>
                  </pic:spPr>
                </pic:pic>
              </a:graphicData>
            </a:graphic>
          </wp:inline>
        </w:drawing>
      </w:r>
      <w:r>
        <w:rPr>
          <w:rFonts w:ascii="Times New Roman"/>
          <w:position w:val="8"/>
          <w:sz w:val="20"/>
        </w:rPr>
      </w:r>
    </w:p>
    <w:p>
      <w:pPr>
        <w:pStyle w:val="BodyText"/>
        <w:rPr>
          <w:rFonts w:ascii="Times New Roman"/>
          <w:sz w:val="20"/>
        </w:rPr>
      </w:pPr>
    </w:p>
    <w:p>
      <w:pPr>
        <w:pStyle w:val="BodyText"/>
        <w:rPr>
          <w:rFonts w:ascii="Times New Roman"/>
          <w:sz w:val="20"/>
        </w:rPr>
      </w:pPr>
    </w:p>
    <w:p>
      <w:pPr>
        <w:pStyle w:val="BodyText"/>
        <w:spacing w:before="5"/>
        <w:rPr>
          <w:rFonts w:ascii="Times New Roman"/>
          <w:sz w:val="13"/>
        </w:rPr>
      </w:pPr>
      <w:r>
        <w:rPr/>
        <w:drawing>
          <wp:anchor distT="0" distB="0" distL="0" distR="0" allowOverlap="1" layoutInCell="1" locked="0" behindDoc="0" simplePos="0" relativeHeight="2">
            <wp:simplePos x="0" y="0"/>
            <wp:positionH relativeFrom="page">
              <wp:posOffset>3520694</wp:posOffset>
            </wp:positionH>
            <wp:positionV relativeFrom="paragraph">
              <wp:posOffset>122967</wp:posOffset>
            </wp:positionV>
            <wp:extent cx="598506" cy="681037"/>
            <wp:effectExtent l="0" t="0" r="0" b="0"/>
            <wp:wrapTopAndBottom/>
            <wp:docPr id="5" name="image4.jpeg" descr=""/>
            <wp:cNvGraphicFramePr>
              <a:graphicFrameLocks noChangeAspect="1"/>
            </wp:cNvGraphicFramePr>
            <a:graphic>
              <a:graphicData uri="http://schemas.openxmlformats.org/drawingml/2006/picture">
                <pic:pic>
                  <pic:nvPicPr>
                    <pic:cNvPr id="6" name="image4.jpeg"/>
                    <pic:cNvPicPr/>
                  </pic:nvPicPr>
                  <pic:blipFill>
                    <a:blip r:embed="rId9" cstate="print"/>
                    <a:stretch>
                      <a:fillRect/>
                    </a:stretch>
                  </pic:blipFill>
                  <pic:spPr>
                    <a:xfrm>
                      <a:off x="0" y="0"/>
                      <a:ext cx="598506" cy="681037"/>
                    </a:xfrm>
                    <a:prstGeom prst="rect">
                      <a:avLst/>
                    </a:prstGeom>
                  </pic:spPr>
                </pic:pic>
              </a:graphicData>
            </a:graphic>
          </wp:anchor>
        </w:drawing>
      </w:r>
    </w:p>
    <w:p>
      <w:pPr>
        <w:spacing w:line="582" w:lineRule="exact" w:before="0"/>
        <w:ind w:left="3041" w:right="0" w:firstLine="0"/>
        <w:jc w:val="left"/>
        <w:rPr>
          <w:rFonts w:ascii="Book Antiqua" w:hAnsi="Book Antiqua"/>
          <w:sz w:val="48"/>
        </w:rPr>
      </w:pPr>
      <w:r>
        <w:rPr>
          <w:rFonts w:ascii="Book Antiqua" w:hAnsi="Book Antiqua"/>
          <w:i/>
          <w:w w:val="90"/>
          <w:sz w:val="48"/>
        </w:rPr>
        <w:t>Ministero </w:t>
      </w:r>
      <w:r>
        <w:rPr>
          <w:rFonts w:ascii="Book Antiqua" w:hAnsi="Book Antiqua"/>
          <w:w w:val="90"/>
          <w:sz w:val="48"/>
        </w:rPr>
        <w:t>dell’Istruzione</w:t>
      </w:r>
    </w:p>
    <w:p>
      <w:pPr>
        <w:spacing w:before="31"/>
        <w:ind w:left="1666" w:right="0" w:firstLine="0"/>
        <w:jc w:val="left"/>
        <w:rPr>
          <w:rFonts w:ascii="Book Antiqua"/>
          <w:i/>
          <w:sz w:val="32"/>
        </w:rPr>
      </w:pPr>
      <w:r>
        <w:rPr>
          <w:rFonts w:ascii="Book Antiqua"/>
          <w:i/>
          <w:w w:val="85"/>
          <w:sz w:val="32"/>
        </w:rPr>
        <w:t>Dipartimento per il sistema educativo di istruzione e di formazione</w:t>
      </w:r>
    </w:p>
    <w:p>
      <w:pPr>
        <w:spacing w:before="16"/>
        <w:ind w:left="818" w:right="0" w:firstLine="0"/>
        <w:jc w:val="left"/>
        <w:rPr>
          <w:rFonts w:ascii="Book Antiqua" w:hAnsi="Book Antiqua"/>
          <w:i/>
          <w:sz w:val="28"/>
        </w:rPr>
      </w:pPr>
      <w:r>
        <w:rPr>
          <w:rFonts w:ascii="Book Antiqua" w:hAnsi="Book Antiqua"/>
          <w:i/>
          <w:w w:val="80"/>
          <w:sz w:val="28"/>
        </w:rPr>
        <w:t>Direzione Generale per i fondi strutturali per </w:t>
      </w:r>
      <w:r>
        <w:rPr>
          <w:rFonts w:ascii="Book Antiqua" w:hAnsi="Book Antiqua"/>
          <w:w w:val="80"/>
          <w:sz w:val="28"/>
        </w:rPr>
        <w:t>l’istruzione, l’edilizia </w:t>
      </w:r>
      <w:r>
        <w:rPr>
          <w:rFonts w:ascii="Book Antiqua" w:hAnsi="Book Antiqua"/>
          <w:i/>
          <w:w w:val="80"/>
          <w:sz w:val="28"/>
        </w:rPr>
        <w:t>scolastica e la scuola digitale</w:t>
      </w:r>
    </w:p>
    <w:p>
      <w:pPr>
        <w:pStyle w:val="Heading1"/>
        <w:spacing w:before="306"/>
      </w:pPr>
      <w:r>
        <w:rPr>
          <w:color w:val="365F91"/>
        </w:rPr>
        <w:t>Avviso pubblico per la realizzazione di ambienti e laboratori per l’educazione e la formazione alla transizione ecologica</w:t>
      </w:r>
    </w:p>
    <w:p>
      <w:pPr>
        <w:spacing w:line="658" w:lineRule="exact" w:before="55"/>
        <w:ind w:left="410" w:right="195" w:firstLine="1303"/>
        <w:jc w:val="left"/>
        <w:rPr>
          <w:b/>
          <w:sz w:val="28"/>
        </w:rPr>
      </w:pPr>
      <w:r>
        <w:rPr>
          <w:b/>
          <w:color w:val="365F91"/>
          <w:sz w:val="28"/>
        </w:rPr>
        <w:t>“</w:t>
      </w:r>
      <w:r>
        <w:rPr>
          <w:b/>
          <w:i/>
          <w:color w:val="365F91"/>
          <w:sz w:val="28"/>
        </w:rPr>
        <w:t>Edugreen</w:t>
      </w:r>
      <w:r>
        <w:rPr>
          <w:b/>
          <w:color w:val="365F91"/>
          <w:sz w:val="28"/>
        </w:rPr>
        <w:t>: laboratori di sostenibilità per il primo ciclo” “Laboratori </w:t>
      </w:r>
      <w:r>
        <w:rPr>
          <w:b/>
          <w:i/>
          <w:color w:val="365F91"/>
          <w:sz w:val="28"/>
        </w:rPr>
        <w:t>green</w:t>
      </w:r>
      <w:r>
        <w:rPr>
          <w:b/>
          <w:color w:val="365F91"/>
          <w:sz w:val="28"/>
        </w:rPr>
        <w:t>, sostenibili e innovativi per le scuole del secondo ciclo nelle</w:t>
      </w:r>
    </w:p>
    <w:p>
      <w:pPr>
        <w:spacing w:line="256" w:lineRule="exact" w:before="0"/>
        <w:ind w:left="208" w:right="105" w:firstLine="0"/>
        <w:jc w:val="center"/>
        <w:rPr>
          <w:b/>
          <w:sz w:val="28"/>
        </w:rPr>
      </w:pPr>
      <w:r>
        <w:rPr>
          <w:b/>
          <w:color w:val="365F91"/>
          <w:sz w:val="28"/>
        </w:rPr>
        <w:t>regioni del Mezzogiorno”</w:t>
      </w:r>
    </w:p>
    <w:p>
      <w:pPr>
        <w:spacing w:before="273"/>
        <w:ind w:left="199" w:right="105" w:firstLine="0"/>
        <w:jc w:val="center"/>
        <w:rPr>
          <w:b/>
          <w:sz w:val="20"/>
        </w:rPr>
      </w:pPr>
      <w:r>
        <w:rPr>
          <w:b/>
          <w:color w:val="365F91"/>
          <w:sz w:val="20"/>
        </w:rPr>
        <w:t>Fondi Strutturali Europei – Programma Operativo Nazionale “Per la scuola, competenze e ambienti per l’apprendimento” 2014-2020 – Fondo europeo di sviluppo regionale (FESR) – REACT EU</w:t>
      </w:r>
    </w:p>
    <w:p>
      <w:pPr>
        <w:pStyle w:val="BodyText"/>
        <w:spacing w:before="7"/>
        <w:rPr>
          <w:b/>
          <w:sz w:val="21"/>
        </w:rPr>
      </w:pPr>
    </w:p>
    <w:p>
      <w:pPr>
        <w:spacing w:line="247" w:lineRule="auto" w:before="0"/>
        <w:ind w:left="329" w:right="235" w:firstLine="0"/>
        <w:jc w:val="center"/>
        <w:rPr>
          <w:b/>
          <w:sz w:val="20"/>
        </w:rPr>
      </w:pPr>
      <w:r>
        <w:rPr>
          <w:b/>
          <w:color w:val="365F91"/>
          <w:sz w:val="20"/>
        </w:rPr>
        <w:t>Asse V – </w:t>
      </w:r>
      <w:r>
        <w:rPr>
          <w:b/>
          <w:i/>
          <w:color w:val="365F91"/>
          <w:sz w:val="20"/>
        </w:rPr>
        <w:t>Priorità d'investimento: </w:t>
      </w:r>
      <w:r>
        <w:rPr>
          <w:b/>
          <w:color w:val="365F91"/>
          <w:sz w:val="20"/>
        </w:rPr>
        <w:t>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13.1.3 – “</w:t>
      </w:r>
      <w:r>
        <w:rPr>
          <w:b/>
          <w:i/>
          <w:color w:val="365F91"/>
          <w:sz w:val="20"/>
        </w:rPr>
        <w:t>Edugreen</w:t>
      </w:r>
      <w:r>
        <w:rPr>
          <w:b/>
          <w:color w:val="365F91"/>
          <w:sz w:val="20"/>
        </w:rPr>
        <w:t>: laboratori di sostenibilità per il primo ciclo”</w:t>
      </w:r>
    </w:p>
    <w:p>
      <w:pPr>
        <w:spacing w:before="11"/>
        <w:ind w:left="205" w:right="105" w:firstLine="0"/>
        <w:jc w:val="center"/>
        <w:rPr>
          <w:b/>
          <w:sz w:val="20"/>
        </w:rPr>
      </w:pPr>
      <w:r>
        <w:rPr>
          <w:b/>
          <w:color w:val="365F91"/>
          <w:sz w:val="20"/>
        </w:rPr>
        <w:t>Azione 13.1.4 – “Laboratori </w:t>
      </w:r>
      <w:r>
        <w:rPr>
          <w:b/>
          <w:i/>
          <w:color w:val="365F91"/>
          <w:sz w:val="20"/>
        </w:rPr>
        <w:t>green</w:t>
      </w:r>
      <w:r>
        <w:rPr>
          <w:b/>
          <w:color w:val="365F91"/>
          <w:sz w:val="20"/>
        </w:rPr>
        <w:t>, sostenibili e innovativi per le scuole del secondo ciclo”</w:t>
      </w:r>
    </w:p>
    <w:p>
      <w:pPr>
        <w:pStyle w:val="BodyText"/>
        <w:rPr>
          <w:b/>
        </w:rPr>
      </w:pPr>
    </w:p>
    <w:p>
      <w:pPr>
        <w:pStyle w:val="BodyText"/>
        <w:rPr>
          <w:b/>
        </w:rPr>
      </w:pPr>
    </w:p>
    <w:p>
      <w:pPr>
        <w:pStyle w:val="Heading2"/>
        <w:spacing w:before="1"/>
      </w:pPr>
      <w:r>
        <w:rPr>
          <w:color w:val="365F91"/>
        </w:rPr>
        <w:t>Art. 1 – Finalità e azioni dell’Avviso pubblico</w:t>
      </w:r>
    </w:p>
    <w:p>
      <w:pPr>
        <w:pStyle w:val="BodyText"/>
        <w:spacing w:line="269" w:lineRule="exact" w:before="1"/>
        <w:ind w:left="679"/>
      </w:pPr>
      <w:r>
        <w:rPr/>
        <w:t>Il presente Avviso è finalizzato alla realizzazione di ambienti e laboratori per l’educazione e la</w:t>
      </w:r>
    </w:p>
    <w:p>
      <w:pPr>
        <w:pStyle w:val="BodyText"/>
        <w:spacing w:line="269" w:lineRule="exact"/>
        <w:ind w:left="112"/>
      </w:pPr>
      <w:r>
        <w:rPr/>
        <w:t>formazione alla transizione ecologica e si articola in due azioni.</w:t>
      </w:r>
    </w:p>
    <w:p>
      <w:pPr>
        <w:pStyle w:val="BodyText"/>
        <w:spacing w:before="20"/>
        <w:ind w:left="112" w:right="148" w:firstLine="566"/>
        <w:jc w:val="both"/>
      </w:pPr>
      <w:r>
        <w:rPr/>
        <w:t>L’azione</w:t>
      </w:r>
      <w:r>
        <w:rPr>
          <w:spacing w:val="-20"/>
        </w:rPr>
        <w:t> </w:t>
      </w:r>
      <w:r>
        <w:rPr/>
        <w:t>1</w:t>
      </w:r>
      <w:r>
        <w:rPr>
          <w:spacing w:val="-20"/>
        </w:rPr>
        <w:t> </w:t>
      </w:r>
      <w:r>
        <w:rPr/>
        <w:t>–</w:t>
      </w:r>
      <w:r>
        <w:rPr>
          <w:spacing w:val="-21"/>
        </w:rPr>
        <w:t> </w:t>
      </w:r>
      <w:r>
        <w:rPr/>
        <w:t>“</w:t>
      </w:r>
      <w:r>
        <w:rPr>
          <w:b/>
          <w:i/>
          <w:u w:val="single"/>
        </w:rPr>
        <w:t>Edugreen</w:t>
      </w:r>
      <w:r>
        <w:rPr>
          <w:b/>
          <w:u w:val="single"/>
        </w:rPr>
        <w:t>:</w:t>
      </w:r>
      <w:r>
        <w:rPr>
          <w:b/>
          <w:spacing w:val="-20"/>
          <w:u w:val="single"/>
        </w:rPr>
        <w:t> </w:t>
      </w:r>
      <w:r>
        <w:rPr>
          <w:b/>
          <w:u w:val="single"/>
        </w:rPr>
        <w:t>laboratori</w:t>
      </w:r>
      <w:r>
        <w:rPr>
          <w:b/>
          <w:spacing w:val="-18"/>
          <w:u w:val="single"/>
        </w:rPr>
        <w:t> </w:t>
      </w:r>
      <w:r>
        <w:rPr>
          <w:b/>
          <w:u w:val="single"/>
        </w:rPr>
        <w:t>di</w:t>
      </w:r>
      <w:r>
        <w:rPr>
          <w:b/>
          <w:spacing w:val="-20"/>
          <w:u w:val="single"/>
        </w:rPr>
        <w:t> </w:t>
      </w:r>
      <w:r>
        <w:rPr>
          <w:b/>
          <w:u w:val="single"/>
        </w:rPr>
        <w:t>sostenibilità</w:t>
      </w:r>
      <w:r>
        <w:rPr>
          <w:b/>
          <w:spacing w:val="-17"/>
          <w:u w:val="single"/>
        </w:rPr>
        <w:t> </w:t>
      </w:r>
      <w:r>
        <w:rPr>
          <w:b/>
          <w:u w:val="single"/>
        </w:rPr>
        <w:t>per</w:t>
      </w:r>
      <w:r>
        <w:rPr>
          <w:b/>
          <w:spacing w:val="-22"/>
          <w:u w:val="single"/>
        </w:rPr>
        <w:t> </w:t>
      </w:r>
      <w:r>
        <w:rPr>
          <w:b/>
          <w:u w:val="single"/>
        </w:rPr>
        <w:t>il</w:t>
      </w:r>
      <w:r>
        <w:rPr>
          <w:b/>
          <w:spacing w:val="-20"/>
          <w:u w:val="single"/>
        </w:rPr>
        <w:t> </w:t>
      </w:r>
      <w:r>
        <w:rPr>
          <w:b/>
          <w:u w:val="single"/>
        </w:rPr>
        <w:t>primo</w:t>
      </w:r>
      <w:r>
        <w:rPr>
          <w:b/>
          <w:spacing w:val="-16"/>
          <w:u w:val="single"/>
        </w:rPr>
        <w:t> </w:t>
      </w:r>
      <w:r>
        <w:rPr>
          <w:b/>
          <w:u w:val="single"/>
        </w:rPr>
        <w:t>ciclo</w:t>
      </w:r>
      <w:r>
        <w:rPr/>
        <w:t>”</w:t>
      </w:r>
      <w:r>
        <w:rPr>
          <w:spacing w:val="-19"/>
        </w:rPr>
        <w:t> </w:t>
      </w:r>
      <w:r>
        <w:rPr/>
        <w:t>–</w:t>
      </w:r>
      <w:r>
        <w:rPr>
          <w:spacing w:val="-20"/>
        </w:rPr>
        <w:t> </w:t>
      </w:r>
      <w:r>
        <w:rPr/>
        <w:t>prevede</w:t>
      </w:r>
      <w:r>
        <w:rPr>
          <w:spacing w:val="-20"/>
        </w:rPr>
        <w:t> </w:t>
      </w:r>
      <w:r>
        <w:rPr/>
        <w:t>la</w:t>
      </w:r>
      <w:r>
        <w:rPr>
          <w:spacing w:val="-19"/>
        </w:rPr>
        <w:t> </w:t>
      </w:r>
      <w:r>
        <w:rPr/>
        <w:t>realizzazione o la risistemazione di orti didattici e di giardini a fini didattici, innovativi e sostenibili, all’interno di uno più plessi delle istituzioni scolastiche del primo ciclo, volti anche a riqualificare giardini e cortili, trasformandoli in ambienti di esplorazione e di apprendimento delle discipline curricolari, delle scienze, delle arti, dell’alimentazione, degli stili di vita salutari, della sostenibilità, favorendo nelle studentesse e negli studenti una comprensione esperienziale e immersiva del mondo naturale e una educazione ambientale significativa e duratura. I giardini didattici consentono di poter apprendere in modo cooperativo, assumendo responsabilità di cura nei confronti dell’ambiente e dell’ecosistema, con impatti emotivi positivi e gratificanti. La cura di questi spazi scolastici può, altresì, favorire anche il coinvolgimento dei genitori e dei volontari, rafforzando il ruolo della scuola nella</w:t>
      </w:r>
      <w:r>
        <w:rPr>
          <w:spacing w:val="-17"/>
        </w:rPr>
        <w:t> </w:t>
      </w:r>
      <w:r>
        <w:rPr/>
        <w:t>comunità.</w:t>
      </w:r>
    </w:p>
    <w:p>
      <w:pPr>
        <w:pStyle w:val="BodyText"/>
        <w:spacing w:before="25"/>
        <w:ind w:left="112" w:right="147" w:firstLine="566"/>
        <w:jc w:val="both"/>
      </w:pPr>
      <w:r>
        <w:rPr/>
        <w:t>L’azione 2 – “</w:t>
      </w:r>
      <w:r>
        <w:rPr>
          <w:b/>
          <w:u w:val="single"/>
        </w:rPr>
        <w:t>Laboratori </w:t>
      </w:r>
      <w:r>
        <w:rPr>
          <w:b/>
          <w:i/>
          <w:u w:val="single"/>
        </w:rPr>
        <w:t>green</w:t>
      </w:r>
      <w:r>
        <w:rPr>
          <w:b/>
          <w:u w:val="single"/>
        </w:rPr>
        <w:t>, sostenibili e innovativi per le scuole del secondo ciclo</w:t>
      </w:r>
      <w:r>
        <w:rPr/>
        <w:t>” – intende promuovere la realizzazione di ambienti laboratoriali per la transizione ecologica, in particolare della filiera agro-alimentare, nelle scuole del secondo ciclo delle regioni del Mezzogiorno (Abruzzo, Basilicata, Calabria, Campania, Molise, Puglia, Sardegna, Sicilia), con priorità per le scuole a indirizzo agrario, che necessitano di laboratori all’avanguardia per le annesse aziende agrarie, al fine di reingegnerizzare il sistema produttivo e di garantirne la piena sostenibilità ambientale e dei processi. L’azione</w:t>
      </w:r>
      <w:r>
        <w:rPr>
          <w:spacing w:val="-15"/>
        </w:rPr>
        <w:t> </w:t>
      </w:r>
      <w:r>
        <w:rPr/>
        <w:t>intende</w:t>
      </w:r>
      <w:r>
        <w:rPr>
          <w:spacing w:val="-13"/>
        </w:rPr>
        <w:t> </w:t>
      </w:r>
      <w:r>
        <w:rPr/>
        <w:t>favorire</w:t>
      </w:r>
      <w:r>
        <w:rPr>
          <w:spacing w:val="-16"/>
        </w:rPr>
        <w:t> </w:t>
      </w:r>
      <w:r>
        <w:rPr/>
        <w:t>la</w:t>
      </w:r>
      <w:r>
        <w:rPr>
          <w:spacing w:val="-15"/>
        </w:rPr>
        <w:t> </w:t>
      </w:r>
      <w:r>
        <w:rPr/>
        <w:t>realizzazione</w:t>
      </w:r>
      <w:r>
        <w:rPr>
          <w:spacing w:val="-15"/>
        </w:rPr>
        <w:t> </w:t>
      </w:r>
      <w:r>
        <w:rPr/>
        <w:t>nelle</w:t>
      </w:r>
      <w:r>
        <w:rPr>
          <w:spacing w:val="-16"/>
        </w:rPr>
        <w:t> </w:t>
      </w:r>
      <w:r>
        <w:rPr/>
        <w:t>scuole</w:t>
      </w:r>
      <w:r>
        <w:rPr>
          <w:spacing w:val="-17"/>
        </w:rPr>
        <w:t> </w:t>
      </w:r>
      <w:r>
        <w:rPr/>
        <w:t>del</w:t>
      </w:r>
      <w:r>
        <w:rPr>
          <w:spacing w:val="-16"/>
        </w:rPr>
        <w:t> </w:t>
      </w:r>
      <w:r>
        <w:rPr/>
        <w:t>secondo</w:t>
      </w:r>
      <w:r>
        <w:rPr>
          <w:spacing w:val="-18"/>
        </w:rPr>
        <w:t> </w:t>
      </w:r>
      <w:r>
        <w:rPr/>
        <w:t>ciclo,</w:t>
      </w:r>
      <w:r>
        <w:rPr>
          <w:spacing w:val="-14"/>
        </w:rPr>
        <w:t> </w:t>
      </w:r>
      <w:r>
        <w:rPr/>
        <w:t>a</w:t>
      </w:r>
      <w:r>
        <w:rPr>
          <w:spacing w:val="-17"/>
        </w:rPr>
        <w:t> </w:t>
      </w:r>
      <w:r>
        <w:rPr/>
        <w:t>seconda</w:t>
      </w:r>
      <w:r>
        <w:rPr>
          <w:spacing w:val="-14"/>
        </w:rPr>
        <w:t> </w:t>
      </w:r>
      <w:r>
        <w:rPr/>
        <w:t>delle</w:t>
      </w:r>
      <w:r>
        <w:rPr>
          <w:spacing w:val="-15"/>
        </w:rPr>
        <w:t> </w:t>
      </w:r>
      <w:r>
        <w:rPr/>
        <w:t>proprie</w:t>
      </w:r>
      <w:r>
        <w:rPr>
          <w:spacing w:val="-15"/>
        </w:rPr>
        <w:t> </w:t>
      </w:r>
      <w:r>
        <w:rPr/>
        <w:t>specificità di indirizzo, di laboratori didattici di “agricoltura 4.0”, anche con l’utilizzo di tecnologie idroponiche, di sistemi digitali per il monitoraggio delle colture basati sull’IoT (</w:t>
      </w:r>
      <w:r>
        <w:rPr>
          <w:i/>
        </w:rPr>
        <w:t>Internet of Things</w:t>
      </w:r>
      <w:r>
        <w:rPr/>
        <w:t>), di strumenti digitali</w:t>
      </w:r>
      <w:r>
        <w:rPr>
          <w:spacing w:val="4"/>
        </w:rPr>
        <w:t> </w:t>
      </w:r>
      <w:r>
        <w:rPr/>
        <w:t>per</w:t>
      </w:r>
    </w:p>
    <w:p>
      <w:pPr>
        <w:spacing w:after="0"/>
        <w:jc w:val="both"/>
        <w:sectPr>
          <w:footerReference w:type="default" r:id="rId5"/>
          <w:type w:val="continuous"/>
          <w:pgSz w:w="11910" w:h="16840"/>
          <w:pgMar w:footer="514" w:top="80" w:bottom="700" w:left="1020" w:right="980"/>
          <w:pgNumType w:start="1"/>
        </w:sectPr>
      </w:pPr>
    </w:p>
    <w:p>
      <w:pPr>
        <w:pStyle w:val="BodyText"/>
        <w:rPr>
          <w:sz w:val="20"/>
        </w:rPr>
      </w:pPr>
    </w:p>
    <w:p>
      <w:pPr>
        <w:pStyle w:val="BodyText"/>
        <w:spacing w:before="3"/>
        <w:rPr>
          <w:sz w:val="29"/>
        </w:rPr>
      </w:pPr>
    </w:p>
    <w:p>
      <w:pPr>
        <w:pStyle w:val="BodyText"/>
        <w:spacing w:before="100"/>
        <w:ind w:left="112" w:right="149"/>
        <w:jc w:val="both"/>
      </w:pPr>
      <w:r>
        <w:rPr/>
        <w:t>la qualità, la sicurezza alimentare, la tracciabilità dei prodotti, laboratori per l’alimentazione sostenibile, laboratori per l’utilizzo delle energie rinnovabili e l’efficientamento energetico, laboratori sulla sostenibilità ambientale per lo studio e la sperimentazione degli impatti delle attività economiche sull’ambiente, sulla produzione dei rifiuti, sulla qualità dell’aria, sui consumi di acqua, energia, suolo e altre risorse naturali, e per il riciclaggio dei rifiuti.</w:t>
      </w:r>
    </w:p>
    <w:p>
      <w:pPr>
        <w:pStyle w:val="BodyText"/>
        <w:ind w:left="112" w:right="148" w:firstLine="566"/>
        <w:jc w:val="both"/>
      </w:pPr>
      <w:r>
        <w:rPr/>
        <w:t>L’intervento è finanziato con i fondi resi disponibili dal Regolamento (UE) n. 2020/2221 del Parlamento europeo e del Consiglio del 23 dicembre 2020, che modifica il regolamento (UE) n. 1303/2013</w:t>
      </w:r>
      <w:r>
        <w:rPr>
          <w:spacing w:val="-7"/>
        </w:rPr>
        <w:t> </w:t>
      </w:r>
      <w:r>
        <w:rPr/>
        <w:t>per</w:t>
      </w:r>
      <w:r>
        <w:rPr>
          <w:spacing w:val="-7"/>
        </w:rPr>
        <w:t> </w:t>
      </w:r>
      <w:r>
        <w:rPr/>
        <w:t>quanto</w:t>
      </w:r>
      <w:r>
        <w:rPr>
          <w:spacing w:val="-8"/>
        </w:rPr>
        <w:t> </w:t>
      </w:r>
      <w:r>
        <w:rPr/>
        <w:t>riguarda</w:t>
      </w:r>
      <w:r>
        <w:rPr>
          <w:spacing w:val="-6"/>
        </w:rPr>
        <w:t> </w:t>
      </w:r>
      <w:r>
        <w:rPr/>
        <w:t>le</w:t>
      </w:r>
      <w:r>
        <w:rPr>
          <w:spacing w:val="-7"/>
        </w:rPr>
        <w:t> </w:t>
      </w:r>
      <w:r>
        <w:rPr/>
        <w:t>risorse</w:t>
      </w:r>
      <w:r>
        <w:rPr>
          <w:spacing w:val="-6"/>
        </w:rPr>
        <w:t> </w:t>
      </w:r>
      <w:r>
        <w:rPr/>
        <w:t>aggiuntive</w:t>
      </w:r>
      <w:r>
        <w:rPr>
          <w:spacing w:val="-7"/>
        </w:rPr>
        <w:t> </w:t>
      </w:r>
      <w:r>
        <w:rPr/>
        <w:t>e</w:t>
      </w:r>
      <w:r>
        <w:rPr>
          <w:spacing w:val="-6"/>
        </w:rPr>
        <w:t> </w:t>
      </w:r>
      <w:r>
        <w:rPr/>
        <w:t>le</w:t>
      </w:r>
      <w:r>
        <w:rPr>
          <w:spacing w:val="-7"/>
        </w:rPr>
        <w:t> </w:t>
      </w:r>
      <w:r>
        <w:rPr/>
        <w:t>modalità</w:t>
      </w:r>
      <w:r>
        <w:rPr>
          <w:spacing w:val="-6"/>
        </w:rPr>
        <w:t> </w:t>
      </w:r>
      <w:r>
        <w:rPr/>
        <w:t>di</w:t>
      </w:r>
      <w:r>
        <w:rPr>
          <w:spacing w:val="-7"/>
        </w:rPr>
        <w:t> </w:t>
      </w:r>
      <w:r>
        <w:rPr/>
        <w:t>attuazione</w:t>
      </w:r>
      <w:r>
        <w:rPr>
          <w:spacing w:val="-9"/>
        </w:rPr>
        <w:t> </w:t>
      </w:r>
      <w:r>
        <w:rPr/>
        <w:t>per</w:t>
      </w:r>
      <w:r>
        <w:rPr>
          <w:spacing w:val="-6"/>
        </w:rPr>
        <w:t> </w:t>
      </w:r>
      <w:r>
        <w:rPr/>
        <w:t>fornire</w:t>
      </w:r>
      <w:r>
        <w:rPr>
          <w:spacing w:val="-7"/>
        </w:rPr>
        <w:t> </w:t>
      </w:r>
      <w:r>
        <w:rPr/>
        <w:t>assistenza</w:t>
      </w:r>
      <w:r>
        <w:rPr>
          <w:spacing w:val="-9"/>
        </w:rPr>
        <w:t> </w:t>
      </w:r>
      <w:r>
        <w:rPr/>
        <w:t>allo scopo di promuovere il superamento degli effetti della crisi nel contesto della pandemia di COVID-19 e delle sue conseguenze sociali e preparare una ripresa verde, digitale e resiliente dell’economia (REACT- EU), nell’ambito del Programma operativo nazionale “Per la scuola, competenze e ambienti per l’apprendimento” 2014-2020 – Fondo europeo di sviluppo regionale (FESR). Tale misura concorre, altresì,</w:t>
      </w:r>
      <w:r>
        <w:rPr>
          <w:spacing w:val="-9"/>
        </w:rPr>
        <w:t> </w:t>
      </w:r>
      <w:r>
        <w:rPr/>
        <w:t>alla</w:t>
      </w:r>
      <w:r>
        <w:rPr>
          <w:spacing w:val="-9"/>
        </w:rPr>
        <w:t> </w:t>
      </w:r>
      <w:r>
        <w:rPr/>
        <w:t>realizzazione</w:t>
      </w:r>
      <w:r>
        <w:rPr>
          <w:spacing w:val="-9"/>
        </w:rPr>
        <w:t> </w:t>
      </w:r>
      <w:r>
        <w:rPr/>
        <w:t>degli</w:t>
      </w:r>
      <w:r>
        <w:rPr>
          <w:spacing w:val="-9"/>
        </w:rPr>
        <w:t> </w:t>
      </w:r>
      <w:r>
        <w:rPr/>
        <w:t>obiettivi</w:t>
      </w:r>
      <w:r>
        <w:rPr>
          <w:spacing w:val="-7"/>
        </w:rPr>
        <w:t> </w:t>
      </w:r>
      <w:r>
        <w:rPr/>
        <w:t>fissati</w:t>
      </w:r>
      <w:r>
        <w:rPr>
          <w:spacing w:val="-10"/>
        </w:rPr>
        <w:t> </w:t>
      </w:r>
      <w:r>
        <w:rPr/>
        <w:t>dal</w:t>
      </w:r>
      <w:r>
        <w:rPr>
          <w:spacing w:val="-9"/>
        </w:rPr>
        <w:t> </w:t>
      </w:r>
      <w:r>
        <w:rPr/>
        <w:t>Piano</w:t>
      </w:r>
      <w:r>
        <w:rPr>
          <w:spacing w:val="-10"/>
        </w:rPr>
        <w:t> </w:t>
      </w:r>
      <w:r>
        <w:rPr/>
        <w:t>“RiGenerazione</w:t>
      </w:r>
      <w:r>
        <w:rPr>
          <w:spacing w:val="-10"/>
        </w:rPr>
        <w:t> </w:t>
      </w:r>
      <w:r>
        <w:rPr/>
        <w:t>Scuola”,</w:t>
      </w:r>
      <w:r>
        <w:rPr>
          <w:spacing w:val="-9"/>
        </w:rPr>
        <w:t> </w:t>
      </w:r>
      <w:r>
        <w:rPr/>
        <w:t>promosso</w:t>
      </w:r>
      <w:r>
        <w:rPr>
          <w:spacing w:val="-10"/>
        </w:rPr>
        <w:t> </w:t>
      </w:r>
      <w:r>
        <w:rPr/>
        <w:t>dal</w:t>
      </w:r>
      <w:r>
        <w:rPr>
          <w:spacing w:val="-9"/>
        </w:rPr>
        <w:t> </w:t>
      </w:r>
      <w:r>
        <w:rPr/>
        <w:t>Ministero dell’istruzione.</w:t>
      </w:r>
    </w:p>
    <w:p>
      <w:pPr>
        <w:pStyle w:val="BodyText"/>
        <w:spacing w:before="11"/>
        <w:rPr>
          <w:sz w:val="23"/>
        </w:rPr>
      </w:pPr>
    </w:p>
    <w:p>
      <w:pPr>
        <w:pStyle w:val="Heading2"/>
      </w:pPr>
      <w:r>
        <w:rPr>
          <w:color w:val="365F91"/>
        </w:rPr>
        <w:t>Art. 2 – Beneficiari dell’Avviso per singola azione</w:t>
      </w:r>
    </w:p>
    <w:p>
      <w:pPr>
        <w:pStyle w:val="ListParagraph"/>
        <w:numPr>
          <w:ilvl w:val="0"/>
          <w:numId w:val="1"/>
        </w:numPr>
        <w:tabs>
          <w:tab w:pos="399" w:val="left" w:leader="none"/>
        </w:tabs>
        <w:spacing w:line="240" w:lineRule="auto" w:before="20" w:after="0"/>
        <w:ind w:left="398" w:right="149" w:hanging="286"/>
        <w:jc w:val="both"/>
        <w:rPr>
          <w:sz w:val="24"/>
        </w:rPr>
      </w:pPr>
      <w:r>
        <w:rPr>
          <w:sz w:val="24"/>
        </w:rPr>
        <w:t>Per l’azione 1 – “</w:t>
      </w:r>
      <w:r>
        <w:rPr>
          <w:b/>
          <w:i/>
          <w:sz w:val="24"/>
          <w:u w:val="single"/>
        </w:rPr>
        <w:t>Edugreen</w:t>
      </w:r>
      <w:r>
        <w:rPr>
          <w:b/>
          <w:sz w:val="24"/>
          <w:u w:val="single"/>
        </w:rPr>
        <w:t>: laboratori di sostenibilità per il primo ciclo</w:t>
      </w:r>
      <w:r>
        <w:rPr>
          <w:sz w:val="24"/>
        </w:rPr>
        <w:t>” – sono ammessi a partecipare le istituzioni scolastiche statali del primo ciclo e gli istituti omnicomprensivi, appartenenti alle regioni Abruzzo, Basilicata, Calabria, Campania, Emilia-Romagna, Friuli Venezia Giulia, Lazio, Liguria, Lombardia, Marche, Molise, Piemonte, Puglia, Sardegna, Sicilia, Toscana, Umbria e</w:t>
      </w:r>
      <w:r>
        <w:rPr>
          <w:spacing w:val="-29"/>
          <w:sz w:val="24"/>
        </w:rPr>
        <w:t> </w:t>
      </w:r>
      <w:r>
        <w:rPr>
          <w:sz w:val="24"/>
        </w:rPr>
        <w:t>Veneto.</w:t>
      </w:r>
    </w:p>
    <w:p>
      <w:pPr>
        <w:pStyle w:val="ListParagraph"/>
        <w:numPr>
          <w:ilvl w:val="0"/>
          <w:numId w:val="1"/>
        </w:numPr>
        <w:tabs>
          <w:tab w:pos="399" w:val="left" w:leader="none"/>
        </w:tabs>
        <w:spacing w:line="240" w:lineRule="auto" w:before="24" w:after="0"/>
        <w:ind w:left="398" w:right="148" w:hanging="286"/>
        <w:jc w:val="both"/>
        <w:rPr>
          <w:sz w:val="24"/>
        </w:rPr>
      </w:pPr>
      <w:r>
        <w:rPr>
          <w:sz w:val="24"/>
        </w:rPr>
        <w:t>Per l’azione 2 – “</w:t>
      </w:r>
      <w:r>
        <w:rPr>
          <w:b/>
          <w:sz w:val="24"/>
          <w:u w:val="single"/>
        </w:rPr>
        <w:t>Laboratori </w:t>
      </w:r>
      <w:r>
        <w:rPr>
          <w:b/>
          <w:i/>
          <w:sz w:val="24"/>
          <w:u w:val="single"/>
        </w:rPr>
        <w:t>green</w:t>
      </w:r>
      <w:r>
        <w:rPr>
          <w:b/>
          <w:sz w:val="24"/>
          <w:u w:val="single"/>
        </w:rPr>
        <w:t>, sostenibili e innovativi per le scuole del secondo ciclo</w:t>
      </w:r>
      <w:r>
        <w:rPr>
          <w:sz w:val="24"/>
        </w:rPr>
        <w:t>” – sono ammessi a partecipare al presente Avviso le istituzioni scolastiche statali del secondo ciclo e gli istituti omnicomprensivi, appartenenti alle sole regioni del Mezzogiorno (Abruzzo, Basilicata, Calabria, Campania, Molise, Puglia, Sardegna,</w:t>
      </w:r>
      <w:r>
        <w:rPr>
          <w:spacing w:val="-2"/>
          <w:sz w:val="24"/>
        </w:rPr>
        <w:t> </w:t>
      </w:r>
      <w:r>
        <w:rPr>
          <w:sz w:val="24"/>
        </w:rPr>
        <w:t>Sicilia).</w:t>
      </w:r>
    </w:p>
    <w:p>
      <w:pPr>
        <w:pStyle w:val="ListParagraph"/>
        <w:numPr>
          <w:ilvl w:val="0"/>
          <w:numId w:val="1"/>
        </w:numPr>
        <w:tabs>
          <w:tab w:pos="399" w:val="left" w:leader="none"/>
        </w:tabs>
        <w:spacing w:line="240" w:lineRule="auto" w:before="3" w:after="0"/>
        <w:ind w:left="398" w:right="153" w:hanging="286"/>
        <w:jc w:val="both"/>
        <w:rPr>
          <w:sz w:val="24"/>
        </w:rPr>
      </w:pPr>
      <w:r>
        <w:rPr>
          <w:sz w:val="24"/>
        </w:rPr>
        <w:t>Ciascuna istituzione scolastica statale può presentare una sola candidatura, a eccezione degli istituti omnicomprensivi delle regioni del Mezzogiorno che possono candidarsi per entrambe le</w:t>
      </w:r>
      <w:r>
        <w:rPr>
          <w:spacing w:val="-23"/>
          <w:sz w:val="24"/>
        </w:rPr>
        <w:t> </w:t>
      </w:r>
      <w:r>
        <w:rPr>
          <w:sz w:val="24"/>
        </w:rPr>
        <w:t>azioni.</w:t>
      </w:r>
    </w:p>
    <w:p>
      <w:pPr>
        <w:pStyle w:val="BodyText"/>
        <w:rPr>
          <w:sz w:val="22"/>
        </w:rPr>
      </w:pPr>
    </w:p>
    <w:p>
      <w:pPr>
        <w:pStyle w:val="Heading2"/>
      </w:pPr>
      <w:r>
        <w:rPr>
          <w:color w:val="365F91"/>
        </w:rPr>
        <w:t>Art. 3 – Tipologie di intervento per ciascuna azione</w:t>
      </w:r>
    </w:p>
    <w:p>
      <w:pPr>
        <w:pStyle w:val="ListParagraph"/>
        <w:numPr>
          <w:ilvl w:val="0"/>
          <w:numId w:val="2"/>
        </w:numPr>
        <w:tabs>
          <w:tab w:pos="399" w:val="left" w:leader="none"/>
        </w:tabs>
        <w:spacing w:line="240" w:lineRule="auto" w:before="20" w:after="0"/>
        <w:ind w:left="398" w:right="0" w:hanging="286"/>
        <w:jc w:val="left"/>
        <w:rPr>
          <w:sz w:val="24"/>
        </w:rPr>
      </w:pPr>
      <w:r>
        <w:rPr>
          <w:sz w:val="24"/>
        </w:rPr>
        <w:t>Gli</w:t>
      </w:r>
      <w:r>
        <w:rPr>
          <w:spacing w:val="-15"/>
          <w:sz w:val="24"/>
        </w:rPr>
        <w:t> </w:t>
      </w:r>
      <w:r>
        <w:rPr>
          <w:sz w:val="24"/>
        </w:rPr>
        <w:t>interventi</w:t>
      </w:r>
      <w:r>
        <w:rPr>
          <w:spacing w:val="-17"/>
          <w:sz w:val="24"/>
        </w:rPr>
        <w:t> </w:t>
      </w:r>
      <w:r>
        <w:rPr>
          <w:sz w:val="24"/>
        </w:rPr>
        <w:t>ammissibili</w:t>
      </w:r>
      <w:r>
        <w:rPr>
          <w:spacing w:val="-17"/>
          <w:sz w:val="24"/>
        </w:rPr>
        <w:t> </w:t>
      </w:r>
      <w:r>
        <w:rPr>
          <w:sz w:val="24"/>
        </w:rPr>
        <w:t>per</w:t>
      </w:r>
      <w:r>
        <w:rPr>
          <w:spacing w:val="-15"/>
          <w:sz w:val="24"/>
        </w:rPr>
        <w:t> </w:t>
      </w:r>
      <w:r>
        <w:rPr>
          <w:sz w:val="24"/>
        </w:rPr>
        <w:t>l’azione</w:t>
      </w:r>
      <w:r>
        <w:rPr>
          <w:spacing w:val="-14"/>
          <w:sz w:val="24"/>
        </w:rPr>
        <w:t> </w:t>
      </w:r>
      <w:r>
        <w:rPr>
          <w:sz w:val="24"/>
        </w:rPr>
        <w:t>1</w:t>
      </w:r>
      <w:r>
        <w:rPr>
          <w:spacing w:val="-15"/>
          <w:sz w:val="24"/>
        </w:rPr>
        <w:t> </w:t>
      </w:r>
      <w:r>
        <w:rPr>
          <w:sz w:val="24"/>
        </w:rPr>
        <w:t>–</w:t>
      </w:r>
      <w:r>
        <w:rPr>
          <w:spacing w:val="-16"/>
          <w:sz w:val="24"/>
        </w:rPr>
        <w:t> </w:t>
      </w:r>
      <w:r>
        <w:rPr>
          <w:sz w:val="24"/>
        </w:rPr>
        <w:t>“</w:t>
      </w:r>
      <w:r>
        <w:rPr>
          <w:b/>
          <w:i/>
          <w:sz w:val="24"/>
          <w:u w:val="single"/>
        </w:rPr>
        <w:t>Edugreen</w:t>
      </w:r>
      <w:r>
        <w:rPr>
          <w:b/>
          <w:sz w:val="24"/>
          <w:u w:val="single"/>
        </w:rPr>
        <w:t>:</w:t>
      </w:r>
      <w:r>
        <w:rPr>
          <w:b/>
          <w:spacing w:val="-15"/>
          <w:sz w:val="24"/>
          <w:u w:val="single"/>
        </w:rPr>
        <w:t> </w:t>
      </w:r>
      <w:r>
        <w:rPr>
          <w:b/>
          <w:sz w:val="24"/>
          <w:u w:val="single"/>
        </w:rPr>
        <w:t>laboratori</w:t>
      </w:r>
      <w:r>
        <w:rPr>
          <w:b/>
          <w:spacing w:val="-15"/>
          <w:sz w:val="24"/>
          <w:u w:val="single"/>
        </w:rPr>
        <w:t> </w:t>
      </w:r>
      <w:r>
        <w:rPr>
          <w:b/>
          <w:sz w:val="24"/>
          <w:u w:val="single"/>
        </w:rPr>
        <w:t>di</w:t>
      </w:r>
      <w:r>
        <w:rPr>
          <w:b/>
          <w:spacing w:val="-15"/>
          <w:sz w:val="24"/>
          <w:u w:val="single"/>
        </w:rPr>
        <w:t> </w:t>
      </w:r>
      <w:r>
        <w:rPr>
          <w:b/>
          <w:sz w:val="24"/>
          <w:u w:val="single"/>
        </w:rPr>
        <w:t>sostenibilità</w:t>
      </w:r>
      <w:r>
        <w:rPr>
          <w:b/>
          <w:spacing w:val="-15"/>
          <w:sz w:val="24"/>
          <w:u w:val="single"/>
        </w:rPr>
        <w:t> </w:t>
      </w:r>
      <w:r>
        <w:rPr>
          <w:b/>
          <w:sz w:val="24"/>
          <w:u w:val="single"/>
        </w:rPr>
        <w:t>per</w:t>
      </w:r>
      <w:r>
        <w:rPr>
          <w:b/>
          <w:spacing w:val="-16"/>
          <w:sz w:val="24"/>
          <w:u w:val="single"/>
        </w:rPr>
        <w:t> </w:t>
      </w:r>
      <w:r>
        <w:rPr>
          <w:b/>
          <w:sz w:val="24"/>
          <w:u w:val="single"/>
        </w:rPr>
        <w:t>il</w:t>
      </w:r>
      <w:r>
        <w:rPr>
          <w:b/>
          <w:spacing w:val="-15"/>
          <w:sz w:val="24"/>
          <w:u w:val="single"/>
        </w:rPr>
        <w:t> </w:t>
      </w:r>
      <w:r>
        <w:rPr>
          <w:b/>
          <w:sz w:val="24"/>
          <w:u w:val="single"/>
        </w:rPr>
        <w:t>primo</w:t>
      </w:r>
      <w:r>
        <w:rPr>
          <w:b/>
          <w:spacing w:val="-15"/>
          <w:sz w:val="24"/>
          <w:u w:val="single"/>
        </w:rPr>
        <w:t> </w:t>
      </w:r>
      <w:r>
        <w:rPr>
          <w:b/>
          <w:sz w:val="24"/>
          <w:u w:val="single"/>
        </w:rPr>
        <w:t>ciclo</w:t>
      </w:r>
      <w:r>
        <w:rPr>
          <w:sz w:val="24"/>
        </w:rPr>
        <w:t>”</w:t>
      </w:r>
    </w:p>
    <w:p>
      <w:pPr>
        <w:pStyle w:val="BodyText"/>
        <w:spacing w:before="1"/>
        <w:ind w:left="398" w:right="148"/>
        <w:jc w:val="both"/>
      </w:pPr>
      <w:r>
        <w:rPr/>
        <w:t>– prevedono la realizzazione o la risistemazione di giardini e orti didattici, in uno o più plessi della scuola,</w:t>
      </w:r>
      <w:r>
        <w:rPr>
          <w:spacing w:val="-7"/>
        </w:rPr>
        <w:t> </w:t>
      </w:r>
      <w:r>
        <w:rPr/>
        <w:t>attraverso</w:t>
      </w:r>
      <w:r>
        <w:rPr>
          <w:spacing w:val="-5"/>
        </w:rPr>
        <w:t> </w:t>
      </w:r>
      <w:r>
        <w:rPr/>
        <w:t>la</w:t>
      </w:r>
      <w:r>
        <w:rPr>
          <w:spacing w:val="-4"/>
        </w:rPr>
        <w:t> </w:t>
      </w:r>
      <w:r>
        <w:rPr/>
        <w:t>fornitura</w:t>
      </w:r>
      <w:r>
        <w:rPr>
          <w:spacing w:val="-4"/>
        </w:rPr>
        <w:t> </w:t>
      </w:r>
      <w:r>
        <w:rPr/>
        <w:t>e</w:t>
      </w:r>
      <w:r>
        <w:rPr>
          <w:spacing w:val="-4"/>
        </w:rPr>
        <w:t> </w:t>
      </w:r>
      <w:r>
        <w:rPr/>
        <w:t>la</w:t>
      </w:r>
      <w:r>
        <w:rPr>
          <w:spacing w:val="-4"/>
        </w:rPr>
        <w:t> </w:t>
      </w:r>
      <w:r>
        <w:rPr/>
        <w:t>posa</w:t>
      </w:r>
      <w:r>
        <w:rPr>
          <w:spacing w:val="-4"/>
        </w:rPr>
        <w:t> </w:t>
      </w:r>
      <w:r>
        <w:rPr/>
        <w:t>in</w:t>
      </w:r>
      <w:r>
        <w:rPr>
          <w:spacing w:val="-5"/>
        </w:rPr>
        <w:t> </w:t>
      </w:r>
      <w:r>
        <w:rPr/>
        <w:t>opera</w:t>
      </w:r>
      <w:r>
        <w:rPr>
          <w:spacing w:val="-3"/>
        </w:rPr>
        <w:t> </w:t>
      </w:r>
      <w:r>
        <w:rPr/>
        <w:t>di</w:t>
      </w:r>
      <w:r>
        <w:rPr>
          <w:spacing w:val="-7"/>
        </w:rPr>
        <w:t> </w:t>
      </w:r>
      <w:r>
        <w:rPr/>
        <w:t>letti</w:t>
      </w:r>
      <w:r>
        <w:rPr>
          <w:spacing w:val="-5"/>
        </w:rPr>
        <w:t> </w:t>
      </w:r>
      <w:r>
        <w:rPr/>
        <w:t>e</w:t>
      </w:r>
      <w:r>
        <w:rPr>
          <w:spacing w:val="-4"/>
        </w:rPr>
        <w:t> </w:t>
      </w:r>
      <w:r>
        <w:rPr/>
        <w:t>cassoni,</w:t>
      </w:r>
      <w:r>
        <w:rPr>
          <w:spacing w:val="-7"/>
        </w:rPr>
        <w:t> </w:t>
      </w:r>
      <w:r>
        <w:rPr/>
        <w:t>anche</w:t>
      </w:r>
      <w:r>
        <w:rPr>
          <w:spacing w:val="-4"/>
        </w:rPr>
        <w:t> </w:t>
      </w:r>
      <w:r>
        <w:rPr/>
        <w:t>rialzati</w:t>
      </w:r>
      <w:r>
        <w:rPr>
          <w:spacing w:val="-6"/>
        </w:rPr>
        <w:t> </w:t>
      </w:r>
      <w:r>
        <w:rPr/>
        <w:t>o</w:t>
      </w:r>
      <w:r>
        <w:rPr>
          <w:spacing w:val="-5"/>
        </w:rPr>
        <w:t> </w:t>
      </w:r>
      <w:r>
        <w:rPr/>
        <w:t>verticali,</w:t>
      </w:r>
      <w:r>
        <w:rPr>
          <w:spacing w:val="-5"/>
        </w:rPr>
        <w:t> </w:t>
      </w:r>
      <w:r>
        <w:rPr/>
        <w:t>per</w:t>
      </w:r>
      <w:r>
        <w:rPr>
          <w:spacing w:val="-5"/>
        </w:rPr>
        <w:t> </w:t>
      </w:r>
      <w:r>
        <w:rPr/>
        <w:t>aiuole</w:t>
      </w:r>
      <w:r>
        <w:rPr>
          <w:spacing w:val="-6"/>
        </w:rPr>
        <w:t> </w:t>
      </w:r>
      <w:r>
        <w:rPr/>
        <w:t>e relativi accessori, l’acquisto di strumenti e kit per il giardinaggio didattico adeguati alle studentesse e agli</w:t>
      </w:r>
      <w:r>
        <w:rPr>
          <w:spacing w:val="-7"/>
        </w:rPr>
        <w:t> </w:t>
      </w:r>
      <w:r>
        <w:rPr/>
        <w:t>studenti</w:t>
      </w:r>
      <w:r>
        <w:rPr>
          <w:spacing w:val="-5"/>
        </w:rPr>
        <w:t> </w:t>
      </w:r>
      <w:r>
        <w:rPr/>
        <w:t>delle</w:t>
      </w:r>
      <w:r>
        <w:rPr>
          <w:spacing w:val="-6"/>
        </w:rPr>
        <w:t> </w:t>
      </w:r>
      <w:r>
        <w:rPr/>
        <w:t>scuole</w:t>
      </w:r>
      <w:r>
        <w:rPr>
          <w:spacing w:val="-3"/>
        </w:rPr>
        <w:t> </w:t>
      </w:r>
      <w:r>
        <w:rPr/>
        <w:t>del</w:t>
      </w:r>
      <w:r>
        <w:rPr>
          <w:spacing w:val="-4"/>
        </w:rPr>
        <w:t> </w:t>
      </w:r>
      <w:r>
        <w:rPr/>
        <w:t>primo</w:t>
      </w:r>
      <w:r>
        <w:rPr>
          <w:spacing w:val="-5"/>
        </w:rPr>
        <w:t> </w:t>
      </w:r>
      <w:r>
        <w:rPr/>
        <w:t>ciclo</w:t>
      </w:r>
      <w:r>
        <w:rPr>
          <w:spacing w:val="-5"/>
        </w:rPr>
        <w:t> </w:t>
      </w:r>
      <w:r>
        <w:rPr/>
        <w:t>di</w:t>
      </w:r>
      <w:r>
        <w:rPr>
          <w:spacing w:val="-4"/>
        </w:rPr>
        <w:t> </w:t>
      </w:r>
      <w:r>
        <w:rPr/>
        <w:t>istruzione,</w:t>
      </w:r>
      <w:r>
        <w:rPr>
          <w:spacing w:val="-5"/>
        </w:rPr>
        <w:t> </w:t>
      </w:r>
      <w:r>
        <w:rPr/>
        <w:t>di</w:t>
      </w:r>
      <w:r>
        <w:rPr>
          <w:spacing w:val="-4"/>
        </w:rPr>
        <w:t> </w:t>
      </w:r>
      <w:r>
        <w:rPr/>
        <w:t>misuratori</w:t>
      </w:r>
      <w:r>
        <w:rPr>
          <w:spacing w:val="-5"/>
        </w:rPr>
        <w:t> </w:t>
      </w:r>
      <w:r>
        <w:rPr/>
        <w:t>per</w:t>
      </w:r>
      <w:r>
        <w:rPr>
          <w:spacing w:val="-4"/>
        </w:rPr>
        <w:t> </w:t>
      </w:r>
      <w:r>
        <w:rPr/>
        <w:t>il</w:t>
      </w:r>
      <w:r>
        <w:rPr>
          <w:spacing w:val="-4"/>
        </w:rPr>
        <w:t> </w:t>
      </w:r>
      <w:r>
        <w:rPr/>
        <w:t>monitoraggio</w:t>
      </w:r>
      <w:r>
        <w:rPr>
          <w:spacing w:val="-5"/>
        </w:rPr>
        <w:t> </w:t>
      </w:r>
      <w:r>
        <w:rPr/>
        <w:t>del</w:t>
      </w:r>
      <w:r>
        <w:rPr>
          <w:spacing w:val="-6"/>
        </w:rPr>
        <w:t> </w:t>
      </w:r>
      <w:r>
        <w:rPr/>
        <w:t>terreno,</w:t>
      </w:r>
      <w:r>
        <w:rPr>
          <w:spacing w:val="-4"/>
        </w:rPr>
        <w:t> </w:t>
      </w:r>
      <w:r>
        <w:rPr/>
        <w:t>di attrezzature per la coltivazione idroponica, per l’irrigazione e il pompaggio dell’acqua, per la realizzazione di piccole serre, di compostiere domestiche da giardino, di prodotti e strumenti per l’agricoltura, anche di tipo 4.0, adeguati al giardino scolastico, di sistemi di produzione di energia </w:t>
      </w:r>
      <w:r>
        <w:rPr>
          <w:spacing w:val="-3"/>
        </w:rPr>
        <w:t>da </w:t>
      </w:r>
      <w:r>
        <w:rPr/>
        <w:t>fonti rinnovabili per il funzionamento delle attrezzature dell’orto, compresi anche di posa in opera, nonché l’effettuazione di eventuali piccoli lavori per adattamento edilizio e/o per la preparazione del terreno e le eventuali attività di formazione breve sull’utilizzo dei beni acquistati a fini</w:t>
      </w:r>
      <w:r>
        <w:rPr>
          <w:spacing w:val="-16"/>
        </w:rPr>
        <w:t> </w:t>
      </w:r>
      <w:r>
        <w:rPr/>
        <w:t>didattici.</w:t>
      </w:r>
    </w:p>
    <w:p>
      <w:pPr>
        <w:pStyle w:val="ListParagraph"/>
        <w:numPr>
          <w:ilvl w:val="0"/>
          <w:numId w:val="2"/>
        </w:numPr>
        <w:tabs>
          <w:tab w:pos="399" w:val="left" w:leader="none"/>
        </w:tabs>
        <w:spacing w:line="240" w:lineRule="auto" w:before="22" w:after="0"/>
        <w:ind w:left="398" w:right="149" w:hanging="286"/>
        <w:jc w:val="both"/>
        <w:rPr>
          <w:sz w:val="24"/>
        </w:rPr>
      </w:pPr>
      <w:r>
        <w:rPr>
          <w:sz w:val="24"/>
        </w:rPr>
        <w:t>Gli</w:t>
      </w:r>
      <w:r>
        <w:rPr>
          <w:spacing w:val="-7"/>
          <w:sz w:val="24"/>
        </w:rPr>
        <w:t> </w:t>
      </w:r>
      <w:r>
        <w:rPr>
          <w:sz w:val="24"/>
        </w:rPr>
        <w:t>interventi</w:t>
      </w:r>
      <w:r>
        <w:rPr>
          <w:spacing w:val="-7"/>
          <w:sz w:val="24"/>
        </w:rPr>
        <w:t> </w:t>
      </w:r>
      <w:r>
        <w:rPr>
          <w:sz w:val="24"/>
        </w:rPr>
        <w:t>ammissibili</w:t>
      </w:r>
      <w:r>
        <w:rPr>
          <w:spacing w:val="-9"/>
          <w:sz w:val="24"/>
        </w:rPr>
        <w:t> </w:t>
      </w:r>
      <w:r>
        <w:rPr>
          <w:sz w:val="24"/>
        </w:rPr>
        <w:t>per</w:t>
      </w:r>
      <w:r>
        <w:rPr>
          <w:spacing w:val="-7"/>
          <w:sz w:val="24"/>
        </w:rPr>
        <w:t> </w:t>
      </w:r>
      <w:r>
        <w:rPr>
          <w:sz w:val="24"/>
        </w:rPr>
        <w:t>l’azione</w:t>
      </w:r>
      <w:r>
        <w:rPr>
          <w:spacing w:val="-8"/>
          <w:sz w:val="24"/>
        </w:rPr>
        <w:t> </w:t>
      </w:r>
      <w:r>
        <w:rPr>
          <w:sz w:val="24"/>
        </w:rPr>
        <w:t>2</w:t>
      </w:r>
      <w:r>
        <w:rPr>
          <w:spacing w:val="-6"/>
          <w:sz w:val="24"/>
        </w:rPr>
        <w:t> </w:t>
      </w:r>
      <w:r>
        <w:rPr>
          <w:sz w:val="24"/>
        </w:rPr>
        <w:t>–</w:t>
      </w:r>
      <w:r>
        <w:rPr>
          <w:spacing w:val="-9"/>
          <w:sz w:val="24"/>
        </w:rPr>
        <w:t> </w:t>
      </w:r>
      <w:r>
        <w:rPr>
          <w:sz w:val="24"/>
        </w:rPr>
        <w:t>“</w:t>
      </w:r>
      <w:r>
        <w:rPr>
          <w:b/>
          <w:sz w:val="24"/>
          <w:u w:val="single"/>
        </w:rPr>
        <w:t>Laboratori</w:t>
      </w:r>
      <w:r>
        <w:rPr>
          <w:b/>
          <w:spacing w:val="-7"/>
          <w:sz w:val="24"/>
          <w:u w:val="single"/>
        </w:rPr>
        <w:t> </w:t>
      </w:r>
      <w:r>
        <w:rPr>
          <w:b/>
          <w:i/>
          <w:sz w:val="24"/>
          <w:u w:val="single"/>
        </w:rPr>
        <w:t>green</w:t>
      </w:r>
      <w:r>
        <w:rPr>
          <w:b/>
          <w:sz w:val="24"/>
          <w:u w:val="single"/>
        </w:rPr>
        <w:t>,</w:t>
      </w:r>
      <w:r>
        <w:rPr>
          <w:b/>
          <w:spacing w:val="-6"/>
          <w:sz w:val="24"/>
          <w:u w:val="single"/>
        </w:rPr>
        <w:t> </w:t>
      </w:r>
      <w:r>
        <w:rPr>
          <w:b/>
          <w:sz w:val="24"/>
          <w:u w:val="single"/>
        </w:rPr>
        <w:t>sostenibili</w:t>
      </w:r>
      <w:r>
        <w:rPr>
          <w:b/>
          <w:spacing w:val="-7"/>
          <w:sz w:val="24"/>
          <w:u w:val="single"/>
        </w:rPr>
        <w:t> </w:t>
      </w:r>
      <w:r>
        <w:rPr>
          <w:b/>
          <w:sz w:val="24"/>
          <w:u w:val="single"/>
        </w:rPr>
        <w:t>e</w:t>
      </w:r>
      <w:r>
        <w:rPr>
          <w:b/>
          <w:spacing w:val="-7"/>
          <w:sz w:val="24"/>
          <w:u w:val="single"/>
        </w:rPr>
        <w:t> </w:t>
      </w:r>
      <w:r>
        <w:rPr>
          <w:b/>
          <w:sz w:val="24"/>
          <w:u w:val="single"/>
        </w:rPr>
        <w:t>innovativi</w:t>
      </w:r>
      <w:r>
        <w:rPr>
          <w:b/>
          <w:spacing w:val="-7"/>
          <w:sz w:val="24"/>
          <w:u w:val="single"/>
        </w:rPr>
        <w:t> </w:t>
      </w:r>
      <w:r>
        <w:rPr>
          <w:b/>
          <w:sz w:val="24"/>
          <w:u w:val="single"/>
        </w:rPr>
        <w:t>per</w:t>
      </w:r>
      <w:r>
        <w:rPr>
          <w:b/>
          <w:spacing w:val="-7"/>
          <w:sz w:val="24"/>
          <w:u w:val="single"/>
        </w:rPr>
        <w:t> </w:t>
      </w:r>
      <w:r>
        <w:rPr>
          <w:b/>
          <w:sz w:val="24"/>
          <w:u w:val="single"/>
        </w:rPr>
        <w:t>le</w:t>
      </w:r>
      <w:r>
        <w:rPr>
          <w:b/>
          <w:spacing w:val="-7"/>
          <w:sz w:val="24"/>
          <w:u w:val="single"/>
        </w:rPr>
        <w:t> </w:t>
      </w:r>
      <w:r>
        <w:rPr>
          <w:b/>
          <w:sz w:val="24"/>
          <w:u w:val="single"/>
        </w:rPr>
        <w:t>scuole del</w:t>
      </w:r>
      <w:r>
        <w:rPr>
          <w:b/>
          <w:spacing w:val="-12"/>
          <w:sz w:val="24"/>
          <w:u w:val="single"/>
        </w:rPr>
        <w:t> </w:t>
      </w:r>
      <w:r>
        <w:rPr>
          <w:b/>
          <w:sz w:val="24"/>
          <w:u w:val="single"/>
        </w:rPr>
        <w:t>secondo</w:t>
      </w:r>
      <w:r>
        <w:rPr>
          <w:b/>
          <w:spacing w:val="-12"/>
          <w:sz w:val="24"/>
          <w:u w:val="single"/>
        </w:rPr>
        <w:t> </w:t>
      </w:r>
      <w:r>
        <w:rPr>
          <w:b/>
          <w:sz w:val="24"/>
          <w:u w:val="single"/>
        </w:rPr>
        <w:t>ciclo</w:t>
      </w:r>
      <w:r>
        <w:rPr>
          <w:sz w:val="24"/>
        </w:rPr>
        <w:t>”</w:t>
      </w:r>
      <w:r>
        <w:rPr>
          <w:spacing w:val="-12"/>
          <w:sz w:val="24"/>
        </w:rPr>
        <w:t> </w:t>
      </w:r>
      <w:r>
        <w:rPr>
          <w:sz w:val="24"/>
        </w:rPr>
        <w:t>–</w:t>
      </w:r>
      <w:r>
        <w:rPr>
          <w:spacing w:val="-10"/>
          <w:sz w:val="24"/>
        </w:rPr>
        <w:t> </w:t>
      </w:r>
      <w:r>
        <w:rPr>
          <w:sz w:val="24"/>
        </w:rPr>
        <w:t>prevedono</w:t>
      </w:r>
      <w:r>
        <w:rPr>
          <w:spacing w:val="-11"/>
          <w:sz w:val="24"/>
        </w:rPr>
        <w:t> </w:t>
      </w:r>
      <w:r>
        <w:rPr>
          <w:sz w:val="24"/>
        </w:rPr>
        <w:t>la</w:t>
      </w:r>
      <w:r>
        <w:rPr>
          <w:spacing w:val="-11"/>
          <w:sz w:val="24"/>
        </w:rPr>
        <w:t> </w:t>
      </w:r>
      <w:r>
        <w:rPr>
          <w:sz w:val="24"/>
        </w:rPr>
        <w:t>realizzazione</w:t>
      </w:r>
      <w:r>
        <w:rPr>
          <w:spacing w:val="-11"/>
          <w:sz w:val="24"/>
        </w:rPr>
        <w:t> </w:t>
      </w:r>
      <w:r>
        <w:rPr>
          <w:sz w:val="24"/>
        </w:rPr>
        <w:t>o</w:t>
      </w:r>
      <w:r>
        <w:rPr>
          <w:spacing w:val="-12"/>
          <w:sz w:val="24"/>
        </w:rPr>
        <w:t> </w:t>
      </w:r>
      <w:r>
        <w:rPr>
          <w:sz w:val="24"/>
        </w:rPr>
        <w:t>il</w:t>
      </w:r>
      <w:r>
        <w:rPr>
          <w:spacing w:val="-12"/>
          <w:sz w:val="24"/>
        </w:rPr>
        <w:t> </w:t>
      </w:r>
      <w:r>
        <w:rPr>
          <w:sz w:val="24"/>
        </w:rPr>
        <w:t>potenziamento</w:t>
      </w:r>
      <w:r>
        <w:rPr>
          <w:spacing w:val="-12"/>
          <w:sz w:val="24"/>
        </w:rPr>
        <w:t> </w:t>
      </w:r>
      <w:r>
        <w:rPr>
          <w:sz w:val="24"/>
        </w:rPr>
        <w:t>di</w:t>
      </w:r>
      <w:r>
        <w:rPr>
          <w:spacing w:val="-12"/>
          <w:sz w:val="24"/>
        </w:rPr>
        <w:t> </w:t>
      </w:r>
      <w:r>
        <w:rPr>
          <w:sz w:val="24"/>
        </w:rPr>
        <w:t>laboratori</w:t>
      </w:r>
      <w:r>
        <w:rPr>
          <w:spacing w:val="-12"/>
          <w:sz w:val="24"/>
        </w:rPr>
        <w:t> </w:t>
      </w:r>
      <w:r>
        <w:rPr>
          <w:sz w:val="24"/>
        </w:rPr>
        <w:t>didattici</w:t>
      </w:r>
      <w:r>
        <w:rPr>
          <w:spacing w:val="-12"/>
          <w:sz w:val="24"/>
        </w:rPr>
        <w:t> </w:t>
      </w:r>
      <w:r>
        <w:rPr>
          <w:sz w:val="24"/>
        </w:rPr>
        <w:t>nell’ambito della filiera agro-alimentare, attraverso l’acquisto di attrezzature per l’agricoltura 4.0 e per la coltivazione idroponica, di strumenti intelligenti e di precisione per il monitoraggio delle colture, di strumenti digitali per la qualità, la sicurezza alimentare, la tracciabilità dei prodotti, di strumenti e attrezzature innovative per la distribuzione, di beni, macchine e attrezzature adeguate all’agricoltura sostenibile,</w:t>
      </w:r>
      <w:r>
        <w:rPr>
          <w:spacing w:val="-9"/>
          <w:sz w:val="24"/>
        </w:rPr>
        <w:t> </w:t>
      </w:r>
      <w:r>
        <w:rPr>
          <w:sz w:val="24"/>
        </w:rPr>
        <w:t>di</w:t>
      </w:r>
      <w:r>
        <w:rPr>
          <w:spacing w:val="-12"/>
          <w:sz w:val="24"/>
        </w:rPr>
        <w:t> </w:t>
      </w:r>
      <w:r>
        <w:rPr>
          <w:sz w:val="24"/>
        </w:rPr>
        <w:t>strumenti</w:t>
      </w:r>
      <w:r>
        <w:rPr>
          <w:spacing w:val="-9"/>
          <w:sz w:val="24"/>
        </w:rPr>
        <w:t> </w:t>
      </w:r>
      <w:r>
        <w:rPr>
          <w:sz w:val="24"/>
        </w:rPr>
        <w:t>per</w:t>
      </w:r>
      <w:r>
        <w:rPr>
          <w:spacing w:val="-9"/>
          <w:sz w:val="24"/>
        </w:rPr>
        <w:t> </w:t>
      </w:r>
      <w:r>
        <w:rPr>
          <w:sz w:val="24"/>
        </w:rPr>
        <w:t>il</w:t>
      </w:r>
      <w:r>
        <w:rPr>
          <w:spacing w:val="-8"/>
          <w:sz w:val="24"/>
        </w:rPr>
        <w:t> </w:t>
      </w:r>
      <w:r>
        <w:rPr>
          <w:sz w:val="24"/>
        </w:rPr>
        <w:t>compostaggio,</w:t>
      </w:r>
      <w:r>
        <w:rPr>
          <w:spacing w:val="-9"/>
          <w:sz w:val="24"/>
        </w:rPr>
        <w:t> </w:t>
      </w:r>
      <w:r>
        <w:rPr>
          <w:sz w:val="24"/>
        </w:rPr>
        <w:t>di</w:t>
      </w:r>
      <w:r>
        <w:rPr>
          <w:spacing w:val="-9"/>
          <w:sz w:val="24"/>
        </w:rPr>
        <w:t> </w:t>
      </w:r>
      <w:r>
        <w:rPr>
          <w:sz w:val="24"/>
        </w:rPr>
        <w:t>kit</w:t>
      </w:r>
      <w:r>
        <w:rPr>
          <w:spacing w:val="-10"/>
          <w:sz w:val="24"/>
        </w:rPr>
        <w:t> </w:t>
      </w:r>
      <w:r>
        <w:rPr>
          <w:sz w:val="24"/>
        </w:rPr>
        <w:t>e</w:t>
      </w:r>
      <w:r>
        <w:rPr>
          <w:spacing w:val="-11"/>
          <w:sz w:val="24"/>
        </w:rPr>
        <w:t> </w:t>
      </w:r>
      <w:r>
        <w:rPr>
          <w:sz w:val="24"/>
        </w:rPr>
        <w:t>strumenti</w:t>
      </w:r>
      <w:r>
        <w:rPr>
          <w:spacing w:val="-8"/>
          <w:sz w:val="24"/>
        </w:rPr>
        <w:t> </w:t>
      </w:r>
      <w:r>
        <w:rPr>
          <w:sz w:val="24"/>
        </w:rPr>
        <w:t>per</w:t>
      </w:r>
      <w:r>
        <w:rPr>
          <w:spacing w:val="-10"/>
          <w:sz w:val="24"/>
        </w:rPr>
        <w:t> </w:t>
      </w:r>
      <w:r>
        <w:rPr>
          <w:sz w:val="24"/>
        </w:rPr>
        <w:t>lo</w:t>
      </w:r>
      <w:r>
        <w:rPr>
          <w:spacing w:val="-9"/>
          <w:sz w:val="24"/>
        </w:rPr>
        <w:t> </w:t>
      </w:r>
      <w:r>
        <w:rPr>
          <w:sz w:val="24"/>
        </w:rPr>
        <w:t>studio</w:t>
      </w:r>
      <w:r>
        <w:rPr>
          <w:spacing w:val="-12"/>
          <w:sz w:val="24"/>
        </w:rPr>
        <w:t> </w:t>
      </w:r>
      <w:r>
        <w:rPr>
          <w:sz w:val="24"/>
        </w:rPr>
        <w:t>e</w:t>
      </w:r>
      <w:r>
        <w:rPr>
          <w:spacing w:val="-8"/>
          <w:sz w:val="24"/>
        </w:rPr>
        <w:t> </w:t>
      </w:r>
      <w:r>
        <w:rPr>
          <w:sz w:val="24"/>
        </w:rPr>
        <w:t>la</w:t>
      </w:r>
      <w:r>
        <w:rPr>
          <w:spacing w:val="-9"/>
          <w:sz w:val="24"/>
        </w:rPr>
        <w:t> </w:t>
      </w:r>
      <w:r>
        <w:rPr>
          <w:sz w:val="24"/>
        </w:rPr>
        <w:t>sperimentazione</w:t>
      </w:r>
      <w:r>
        <w:rPr>
          <w:spacing w:val="-9"/>
          <w:sz w:val="24"/>
        </w:rPr>
        <w:t> </w:t>
      </w:r>
      <w:r>
        <w:rPr>
          <w:sz w:val="24"/>
        </w:rPr>
        <w:t>delle energie rinnovabili, di strumenti e attrezzature per l’alimentazione sana e sostenibile, nonché l’effettuazione di eventuali piccoli lavori per adattamento edilizio e/o per la preparazione del terreno, laddove</w:t>
      </w:r>
      <w:r>
        <w:rPr>
          <w:spacing w:val="-1"/>
          <w:sz w:val="24"/>
        </w:rPr>
        <w:t> </w:t>
      </w:r>
      <w:r>
        <w:rPr>
          <w:sz w:val="24"/>
        </w:rPr>
        <w:t>necessari.</w:t>
      </w:r>
    </w:p>
    <w:p>
      <w:pPr>
        <w:pStyle w:val="ListParagraph"/>
        <w:numPr>
          <w:ilvl w:val="0"/>
          <w:numId w:val="2"/>
        </w:numPr>
        <w:tabs>
          <w:tab w:pos="399" w:val="left" w:leader="none"/>
        </w:tabs>
        <w:spacing w:line="240" w:lineRule="auto" w:before="3" w:after="0"/>
        <w:ind w:left="398" w:right="0" w:hanging="286"/>
        <w:jc w:val="left"/>
        <w:rPr>
          <w:sz w:val="24"/>
        </w:rPr>
      </w:pPr>
      <w:r>
        <w:rPr>
          <w:sz w:val="24"/>
        </w:rPr>
        <w:t>All’atto della candidatura, ciascuna istituzione scolastica compila, tramite l’apposita piattaforma, i</w:t>
      </w:r>
      <w:r>
        <w:rPr>
          <w:spacing w:val="-35"/>
          <w:sz w:val="24"/>
        </w:rPr>
        <w:t> </w:t>
      </w:r>
      <w:r>
        <w:rPr>
          <w:sz w:val="24"/>
        </w:rPr>
        <w:t>dati</w:t>
      </w:r>
    </w:p>
    <w:p>
      <w:pPr>
        <w:spacing w:after="0" w:line="240" w:lineRule="auto"/>
        <w:jc w:val="left"/>
        <w:rPr>
          <w:sz w:val="24"/>
        </w:rPr>
        <w:sectPr>
          <w:headerReference w:type="default" r:id="rId10"/>
          <w:pgSz w:w="11910" w:h="16840"/>
          <w:pgMar w:header="653" w:footer="514" w:top="1480" w:bottom="720" w:left="1020" w:right="980"/>
        </w:sectPr>
      </w:pPr>
    </w:p>
    <w:p>
      <w:pPr>
        <w:pStyle w:val="BodyText"/>
        <w:rPr>
          <w:sz w:val="20"/>
        </w:rPr>
      </w:pPr>
    </w:p>
    <w:p>
      <w:pPr>
        <w:pStyle w:val="BodyText"/>
        <w:spacing w:before="3"/>
        <w:rPr>
          <w:sz w:val="29"/>
        </w:rPr>
      </w:pPr>
    </w:p>
    <w:p>
      <w:pPr>
        <w:pStyle w:val="BodyText"/>
        <w:spacing w:before="100"/>
        <w:ind w:left="398" w:right="148"/>
        <w:jc w:val="both"/>
      </w:pPr>
      <w:r>
        <w:rPr/>
        <w:t>di</w:t>
      </w:r>
      <w:r>
        <w:rPr>
          <w:spacing w:val="-10"/>
        </w:rPr>
        <w:t> </w:t>
      </w:r>
      <w:r>
        <w:rPr/>
        <w:t>adesione</w:t>
      </w:r>
      <w:r>
        <w:rPr>
          <w:spacing w:val="-9"/>
        </w:rPr>
        <w:t> </w:t>
      </w:r>
      <w:r>
        <w:rPr/>
        <w:t>richiesti</w:t>
      </w:r>
      <w:r>
        <w:rPr>
          <w:spacing w:val="-8"/>
        </w:rPr>
        <w:t> </w:t>
      </w:r>
      <w:r>
        <w:rPr/>
        <w:t>per</w:t>
      </w:r>
      <w:r>
        <w:rPr>
          <w:spacing w:val="-9"/>
        </w:rPr>
        <w:t> </w:t>
      </w:r>
      <w:r>
        <w:rPr/>
        <w:t>la</w:t>
      </w:r>
      <w:r>
        <w:rPr>
          <w:spacing w:val="-12"/>
        </w:rPr>
        <w:t> </w:t>
      </w:r>
      <w:r>
        <w:rPr/>
        <w:t>realizzazione</w:t>
      </w:r>
      <w:r>
        <w:rPr>
          <w:spacing w:val="-8"/>
        </w:rPr>
        <w:t> </w:t>
      </w:r>
      <w:r>
        <w:rPr/>
        <w:t>dei</w:t>
      </w:r>
      <w:r>
        <w:rPr>
          <w:spacing w:val="-8"/>
        </w:rPr>
        <w:t> </w:t>
      </w:r>
      <w:r>
        <w:rPr/>
        <w:t>laboratori,</w:t>
      </w:r>
      <w:r>
        <w:rPr>
          <w:spacing w:val="-9"/>
        </w:rPr>
        <w:t> </w:t>
      </w:r>
      <w:r>
        <w:rPr/>
        <w:t>provvedendo</w:t>
      </w:r>
      <w:r>
        <w:rPr>
          <w:spacing w:val="-9"/>
        </w:rPr>
        <w:t> </w:t>
      </w:r>
      <w:r>
        <w:rPr/>
        <w:t>contestualmente</w:t>
      </w:r>
      <w:r>
        <w:rPr>
          <w:spacing w:val="-8"/>
        </w:rPr>
        <w:t> </w:t>
      </w:r>
      <w:r>
        <w:rPr/>
        <w:t>alla</w:t>
      </w:r>
      <w:r>
        <w:rPr>
          <w:spacing w:val="-9"/>
        </w:rPr>
        <w:t> </w:t>
      </w:r>
      <w:r>
        <w:rPr/>
        <w:t>generazione del Codice unico di progetto (CUP), secondo la procedura indicata nello specifico manuale operativo dell’avviso e sulla base dei seguenti codici di </w:t>
      </w:r>
      <w:r>
        <w:rPr>
          <w:i/>
        </w:rPr>
        <w:t>template</w:t>
      </w:r>
      <w:r>
        <w:rPr/>
        <w:t>, distinti per ciascuna</w:t>
      </w:r>
      <w:r>
        <w:rPr>
          <w:spacing w:val="-11"/>
        </w:rPr>
        <w:t> </w:t>
      </w:r>
      <w:r>
        <w:rPr/>
        <w:t>azione:</w:t>
      </w:r>
    </w:p>
    <w:p>
      <w:pPr>
        <w:pStyle w:val="ListParagraph"/>
        <w:numPr>
          <w:ilvl w:val="1"/>
          <w:numId w:val="2"/>
        </w:numPr>
        <w:tabs>
          <w:tab w:pos="824" w:val="left" w:leader="none"/>
        </w:tabs>
        <w:spacing w:line="269" w:lineRule="exact" w:before="0" w:after="0"/>
        <w:ind w:left="823" w:right="0" w:hanging="146"/>
        <w:jc w:val="left"/>
        <w:rPr>
          <w:sz w:val="24"/>
        </w:rPr>
      </w:pPr>
      <w:r>
        <w:rPr>
          <w:sz w:val="24"/>
        </w:rPr>
        <w:t>codice di </w:t>
      </w:r>
      <w:r>
        <w:rPr>
          <w:i/>
          <w:sz w:val="24"/>
        </w:rPr>
        <w:t>template </w:t>
      </w:r>
      <w:r>
        <w:rPr>
          <w:sz w:val="24"/>
        </w:rPr>
        <w:t>CUP per l’azione 1 “</w:t>
      </w:r>
      <w:r>
        <w:rPr>
          <w:i/>
          <w:sz w:val="24"/>
        </w:rPr>
        <w:t>Edugreen </w:t>
      </w:r>
      <w:r>
        <w:rPr>
          <w:sz w:val="24"/>
        </w:rPr>
        <w:t>– Primo ciclo”</w:t>
      </w:r>
      <w:r>
        <w:rPr>
          <w:sz w:val="22"/>
        </w:rPr>
        <w:t>:</w:t>
      </w:r>
      <w:r>
        <w:rPr>
          <w:spacing w:val="-15"/>
          <w:sz w:val="22"/>
        </w:rPr>
        <w:t> </w:t>
      </w:r>
      <w:r>
        <w:rPr>
          <w:b/>
          <w:sz w:val="24"/>
        </w:rPr>
        <w:t>2112001</w:t>
      </w:r>
      <w:r>
        <w:rPr>
          <w:sz w:val="24"/>
        </w:rPr>
        <w:t>;</w:t>
      </w:r>
    </w:p>
    <w:p>
      <w:pPr>
        <w:pStyle w:val="ListParagraph"/>
        <w:numPr>
          <w:ilvl w:val="1"/>
          <w:numId w:val="2"/>
        </w:numPr>
        <w:tabs>
          <w:tab w:pos="824" w:val="left" w:leader="none"/>
        </w:tabs>
        <w:spacing w:line="269" w:lineRule="exact" w:before="1" w:after="0"/>
        <w:ind w:left="823" w:right="0" w:hanging="146"/>
        <w:jc w:val="left"/>
        <w:rPr>
          <w:sz w:val="24"/>
        </w:rPr>
      </w:pPr>
      <w:r>
        <w:rPr>
          <w:sz w:val="24"/>
        </w:rPr>
        <w:t>codice di </w:t>
      </w:r>
      <w:r>
        <w:rPr>
          <w:i/>
          <w:sz w:val="24"/>
        </w:rPr>
        <w:t>template </w:t>
      </w:r>
      <w:r>
        <w:rPr>
          <w:sz w:val="24"/>
        </w:rPr>
        <w:t>CUP per l’azione 2 “Laboratori </w:t>
      </w:r>
      <w:r>
        <w:rPr>
          <w:i/>
          <w:sz w:val="24"/>
        </w:rPr>
        <w:t>green </w:t>
      </w:r>
      <w:r>
        <w:rPr>
          <w:sz w:val="24"/>
        </w:rPr>
        <w:t>– secondo ciclo”:</w:t>
      </w:r>
      <w:r>
        <w:rPr>
          <w:spacing w:val="-15"/>
          <w:sz w:val="24"/>
        </w:rPr>
        <w:t> </w:t>
      </w:r>
      <w:r>
        <w:rPr>
          <w:b/>
          <w:sz w:val="24"/>
        </w:rPr>
        <w:t>2112002</w:t>
      </w:r>
      <w:r>
        <w:rPr>
          <w:sz w:val="24"/>
        </w:rPr>
        <w:t>.</w:t>
      </w:r>
    </w:p>
    <w:p>
      <w:pPr>
        <w:pStyle w:val="ListParagraph"/>
        <w:numPr>
          <w:ilvl w:val="0"/>
          <w:numId w:val="2"/>
        </w:numPr>
        <w:tabs>
          <w:tab w:pos="399" w:val="left" w:leader="none"/>
        </w:tabs>
        <w:spacing w:line="240" w:lineRule="auto" w:before="0" w:after="0"/>
        <w:ind w:left="398" w:right="149" w:hanging="286"/>
        <w:jc w:val="left"/>
        <w:rPr>
          <w:sz w:val="24"/>
        </w:rPr>
      </w:pPr>
      <w:r>
        <w:rPr>
          <w:sz w:val="24"/>
        </w:rPr>
        <w:t>Gli</w:t>
      </w:r>
      <w:r>
        <w:rPr>
          <w:spacing w:val="-17"/>
          <w:sz w:val="24"/>
        </w:rPr>
        <w:t> </w:t>
      </w:r>
      <w:r>
        <w:rPr>
          <w:sz w:val="24"/>
        </w:rPr>
        <w:t>interventi</w:t>
      </w:r>
      <w:r>
        <w:rPr>
          <w:spacing w:val="-17"/>
          <w:sz w:val="24"/>
        </w:rPr>
        <w:t> </w:t>
      </w:r>
      <w:r>
        <w:rPr>
          <w:sz w:val="24"/>
        </w:rPr>
        <w:t>di</w:t>
      </w:r>
      <w:r>
        <w:rPr>
          <w:spacing w:val="-17"/>
          <w:sz w:val="24"/>
        </w:rPr>
        <w:t> </w:t>
      </w:r>
      <w:r>
        <w:rPr>
          <w:sz w:val="24"/>
        </w:rPr>
        <w:t>cui</w:t>
      </w:r>
      <w:r>
        <w:rPr>
          <w:spacing w:val="-16"/>
          <w:sz w:val="24"/>
        </w:rPr>
        <w:t> </w:t>
      </w:r>
      <w:r>
        <w:rPr>
          <w:sz w:val="24"/>
        </w:rPr>
        <w:t>ai</w:t>
      </w:r>
      <w:r>
        <w:rPr>
          <w:spacing w:val="-19"/>
          <w:sz w:val="24"/>
        </w:rPr>
        <w:t> </w:t>
      </w:r>
      <w:r>
        <w:rPr>
          <w:sz w:val="24"/>
        </w:rPr>
        <w:t>commi</w:t>
      </w:r>
      <w:r>
        <w:rPr>
          <w:spacing w:val="-16"/>
          <w:sz w:val="24"/>
        </w:rPr>
        <w:t> </w:t>
      </w:r>
      <w:r>
        <w:rPr>
          <w:sz w:val="24"/>
        </w:rPr>
        <w:t>1</w:t>
      </w:r>
      <w:r>
        <w:rPr>
          <w:spacing w:val="-17"/>
          <w:sz w:val="24"/>
        </w:rPr>
        <w:t> </w:t>
      </w:r>
      <w:r>
        <w:rPr>
          <w:sz w:val="24"/>
        </w:rPr>
        <w:t>e</w:t>
      </w:r>
      <w:r>
        <w:rPr>
          <w:spacing w:val="-16"/>
          <w:sz w:val="24"/>
        </w:rPr>
        <w:t> </w:t>
      </w:r>
      <w:r>
        <w:rPr>
          <w:sz w:val="24"/>
        </w:rPr>
        <w:t>2</w:t>
      </w:r>
      <w:r>
        <w:rPr>
          <w:spacing w:val="-17"/>
          <w:sz w:val="24"/>
        </w:rPr>
        <w:t> </w:t>
      </w:r>
      <w:r>
        <w:rPr>
          <w:sz w:val="24"/>
        </w:rPr>
        <w:t>del</w:t>
      </w:r>
      <w:r>
        <w:rPr>
          <w:spacing w:val="-15"/>
          <w:sz w:val="24"/>
        </w:rPr>
        <w:t> </w:t>
      </w:r>
      <w:r>
        <w:rPr>
          <w:sz w:val="24"/>
        </w:rPr>
        <w:t>presente</w:t>
      </w:r>
      <w:r>
        <w:rPr>
          <w:spacing w:val="-18"/>
          <w:sz w:val="24"/>
        </w:rPr>
        <w:t> </w:t>
      </w:r>
      <w:r>
        <w:rPr>
          <w:sz w:val="24"/>
        </w:rPr>
        <w:t>articolo</w:t>
      </w:r>
      <w:r>
        <w:rPr>
          <w:spacing w:val="-15"/>
          <w:sz w:val="24"/>
        </w:rPr>
        <w:t> </w:t>
      </w:r>
      <w:r>
        <w:rPr>
          <w:sz w:val="24"/>
        </w:rPr>
        <w:t>dovranno</w:t>
      </w:r>
      <w:r>
        <w:rPr>
          <w:spacing w:val="-15"/>
          <w:sz w:val="24"/>
        </w:rPr>
        <w:t> </w:t>
      </w:r>
      <w:r>
        <w:rPr>
          <w:sz w:val="24"/>
        </w:rPr>
        <w:t>essere</w:t>
      </w:r>
      <w:r>
        <w:rPr>
          <w:spacing w:val="-17"/>
          <w:sz w:val="24"/>
        </w:rPr>
        <w:t> </w:t>
      </w:r>
      <w:r>
        <w:rPr>
          <w:sz w:val="24"/>
        </w:rPr>
        <w:t>realizzati,</w:t>
      </w:r>
      <w:r>
        <w:rPr>
          <w:spacing w:val="-16"/>
          <w:sz w:val="24"/>
        </w:rPr>
        <w:t> </w:t>
      </w:r>
      <w:r>
        <w:rPr>
          <w:sz w:val="24"/>
        </w:rPr>
        <w:t>collaudati</w:t>
      </w:r>
      <w:r>
        <w:rPr>
          <w:spacing w:val="-15"/>
          <w:sz w:val="24"/>
        </w:rPr>
        <w:t> </w:t>
      </w:r>
      <w:r>
        <w:rPr>
          <w:sz w:val="24"/>
        </w:rPr>
        <w:t>e</w:t>
      </w:r>
      <w:r>
        <w:rPr>
          <w:spacing w:val="-18"/>
          <w:sz w:val="24"/>
        </w:rPr>
        <w:t> </w:t>
      </w:r>
      <w:r>
        <w:rPr>
          <w:sz w:val="24"/>
        </w:rPr>
        <w:t>conclusi con tempestività e comunque entro e non oltre il 31 dicembre</w:t>
      </w:r>
      <w:r>
        <w:rPr>
          <w:spacing w:val="-7"/>
          <w:sz w:val="24"/>
        </w:rPr>
        <w:t> </w:t>
      </w:r>
      <w:r>
        <w:rPr>
          <w:sz w:val="24"/>
        </w:rPr>
        <w:t>2022.</w:t>
      </w:r>
    </w:p>
    <w:p>
      <w:pPr>
        <w:pStyle w:val="BodyText"/>
        <w:spacing w:before="11"/>
        <w:rPr>
          <w:sz w:val="21"/>
        </w:rPr>
      </w:pPr>
    </w:p>
    <w:p>
      <w:pPr>
        <w:pStyle w:val="Heading2"/>
      </w:pPr>
      <w:r>
        <w:rPr>
          <w:color w:val="365F91"/>
        </w:rPr>
        <w:t>Art. 4 – Massimali di spesa per gli interventi</w:t>
      </w:r>
    </w:p>
    <w:p>
      <w:pPr>
        <w:pStyle w:val="ListParagraph"/>
        <w:numPr>
          <w:ilvl w:val="0"/>
          <w:numId w:val="3"/>
        </w:numPr>
        <w:tabs>
          <w:tab w:pos="397" w:val="left" w:leader="none"/>
        </w:tabs>
        <w:spacing w:line="269" w:lineRule="exact" w:before="1" w:after="0"/>
        <w:ind w:left="396" w:right="0" w:hanging="284"/>
        <w:jc w:val="left"/>
        <w:rPr>
          <w:sz w:val="24"/>
        </w:rPr>
      </w:pPr>
      <w:r>
        <w:rPr>
          <w:sz w:val="24"/>
        </w:rPr>
        <w:t>L’importo</w:t>
      </w:r>
      <w:r>
        <w:rPr>
          <w:spacing w:val="6"/>
          <w:sz w:val="24"/>
        </w:rPr>
        <w:t> </w:t>
      </w:r>
      <w:r>
        <w:rPr>
          <w:sz w:val="24"/>
        </w:rPr>
        <w:t>del</w:t>
      </w:r>
      <w:r>
        <w:rPr>
          <w:spacing w:val="8"/>
          <w:sz w:val="24"/>
        </w:rPr>
        <w:t> </w:t>
      </w:r>
      <w:r>
        <w:rPr>
          <w:sz w:val="24"/>
        </w:rPr>
        <w:t>finanziamento</w:t>
      </w:r>
      <w:r>
        <w:rPr>
          <w:spacing w:val="6"/>
          <w:sz w:val="24"/>
        </w:rPr>
        <w:t> </w:t>
      </w:r>
      <w:r>
        <w:rPr>
          <w:sz w:val="24"/>
        </w:rPr>
        <w:t>per</w:t>
      </w:r>
      <w:r>
        <w:rPr>
          <w:spacing w:val="7"/>
          <w:sz w:val="24"/>
        </w:rPr>
        <w:t> </w:t>
      </w:r>
      <w:r>
        <w:rPr>
          <w:sz w:val="24"/>
        </w:rPr>
        <w:t>l’azione</w:t>
      </w:r>
      <w:r>
        <w:rPr>
          <w:spacing w:val="5"/>
          <w:sz w:val="24"/>
        </w:rPr>
        <w:t> </w:t>
      </w:r>
      <w:r>
        <w:rPr>
          <w:sz w:val="24"/>
        </w:rPr>
        <w:t>1</w:t>
      </w:r>
      <w:r>
        <w:rPr>
          <w:spacing w:val="10"/>
          <w:sz w:val="24"/>
        </w:rPr>
        <w:t> </w:t>
      </w:r>
      <w:r>
        <w:rPr>
          <w:sz w:val="24"/>
        </w:rPr>
        <w:t>“</w:t>
      </w:r>
      <w:r>
        <w:rPr>
          <w:i/>
          <w:sz w:val="24"/>
        </w:rPr>
        <w:t>Edugreen</w:t>
      </w:r>
      <w:r>
        <w:rPr>
          <w:sz w:val="24"/>
        </w:rPr>
        <w:t>:</w:t>
      </w:r>
      <w:r>
        <w:rPr>
          <w:spacing w:val="7"/>
          <w:sz w:val="24"/>
        </w:rPr>
        <w:t> </w:t>
      </w:r>
      <w:r>
        <w:rPr>
          <w:sz w:val="24"/>
        </w:rPr>
        <w:t>laboratori</w:t>
      </w:r>
      <w:r>
        <w:rPr>
          <w:spacing w:val="7"/>
          <w:sz w:val="24"/>
        </w:rPr>
        <w:t> </w:t>
      </w:r>
      <w:r>
        <w:rPr>
          <w:sz w:val="24"/>
        </w:rPr>
        <w:t>di</w:t>
      </w:r>
      <w:r>
        <w:rPr>
          <w:spacing w:val="7"/>
          <w:sz w:val="24"/>
        </w:rPr>
        <w:t> </w:t>
      </w:r>
      <w:r>
        <w:rPr>
          <w:sz w:val="24"/>
        </w:rPr>
        <w:t>sostenibilità</w:t>
      </w:r>
      <w:r>
        <w:rPr>
          <w:spacing w:val="8"/>
          <w:sz w:val="24"/>
        </w:rPr>
        <w:t> </w:t>
      </w:r>
      <w:r>
        <w:rPr>
          <w:sz w:val="24"/>
        </w:rPr>
        <w:t>per</w:t>
      </w:r>
      <w:r>
        <w:rPr>
          <w:spacing w:val="7"/>
          <w:sz w:val="24"/>
        </w:rPr>
        <w:t> </w:t>
      </w:r>
      <w:r>
        <w:rPr>
          <w:sz w:val="24"/>
        </w:rPr>
        <w:t>il</w:t>
      </w:r>
      <w:r>
        <w:rPr>
          <w:spacing w:val="7"/>
          <w:sz w:val="24"/>
        </w:rPr>
        <w:t> </w:t>
      </w:r>
      <w:r>
        <w:rPr>
          <w:sz w:val="24"/>
        </w:rPr>
        <w:t>primo</w:t>
      </w:r>
      <w:r>
        <w:rPr>
          <w:spacing w:val="6"/>
          <w:sz w:val="24"/>
        </w:rPr>
        <w:t> </w:t>
      </w:r>
      <w:r>
        <w:rPr>
          <w:sz w:val="24"/>
        </w:rPr>
        <w:t>ciclo”</w:t>
      </w:r>
      <w:r>
        <w:rPr>
          <w:spacing w:val="5"/>
          <w:sz w:val="24"/>
        </w:rPr>
        <w:t> </w:t>
      </w:r>
      <w:r>
        <w:rPr>
          <w:sz w:val="24"/>
        </w:rPr>
        <w:t>è</w:t>
      </w:r>
    </w:p>
    <w:p>
      <w:pPr>
        <w:pStyle w:val="BodyText"/>
        <w:spacing w:line="269" w:lineRule="exact"/>
        <w:ind w:left="396"/>
        <w:jc w:val="both"/>
      </w:pPr>
      <w:r>
        <w:rPr/>
        <w:t>pari a euro 25.000,00.</w:t>
      </w:r>
    </w:p>
    <w:p>
      <w:pPr>
        <w:pStyle w:val="ListParagraph"/>
        <w:numPr>
          <w:ilvl w:val="0"/>
          <w:numId w:val="3"/>
        </w:numPr>
        <w:tabs>
          <w:tab w:pos="397" w:val="left" w:leader="none"/>
        </w:tabs>
        <w:spacing w:line="270" w:lineRule="exact" w:before="1" w:after="0"/>
        <w:ind w:left="396" w:right="0" w:hanging="284"/>
        <w:jc w:val="left"/>
        <w:rPr>
          <w:sz w:val="24"/>
        </w:rPr>
      </w:pPr>
      <w:r>
        <w:rPr>
          <w:sz w:val="24"/>
        </w:rPr>
        <w:t>L’importo del finanziamento per l’azione 2 “Laboratori </w:t>
      </w:r>
      <w:r>
        <w:rPr>
          <w:i/>
          <w:sz w:val="24"/>
        </w:rPr>
        <w:t>green</w:t>
      </w:r>
      <w:r>
        <w:rPr>
          <w:sz w:val="24"/>
        </w:rPr>
        <w:t>, sostenibili e innovativi per le scuole</w:t>
      </w:r>
      <w:r>
        <w:rPr>
          <w:spacing w:val="7"/>
          <w:sz w:val="24"/>
        </w:rPr>
        <w:t> </w:t>
      </w:r>
      <w:r>
        <w:rPr>
          <w:sz w:val="24"/>
        </w:rPr>
        <w:t>del</w:t>
      </w:r>
    </w:p>
    <w:p>
      <w:pPr>
        <w:pStyle w:val="BodyText"/>
        <w:spacing w:line="270" w:lineRule="exact"/>
        <w:ind w:left="396"/>
        <w:jc w:val="both"/>
      </w:pPr>
      <w:r>
        <w:rPr/>
        <w:t>secondo ciclo” è pari a euro 130.000,00.</w:t>
      </w:r>
    </w:p>
    <w:p>
      <w:pPr>
        <w:pStyle w:val="ListParagraph"/>
        <w:numPr>
          <w:ilvl w:val="0"/>
          <w:numId w:val="3"/>
        </w:numPr>
        <w:tabs>
          <w:tab w:pos="397" w:val="left" w:leader="none"/>
        </w:tabs>
        <w:spacing w:line="240" w:lineRule="auto" w:before="1" w:after="0"/>
        <w:ind w:left="396" w:right="0" w:hanging="284"/>
        <w:jc w:val="left"/>
        <w:rPr>
          <w:sz w:val="24"/>
        </w:rPr>
      </w:pPr>
      <w:r>
        <w:rPr>
          <w:sz w:val="24"/>
        </w:rPr>
        <w:t>Tutti i costi sono da considerarsi I.V.A.</w:t>
      </w:r>
      <w:r>
        <w:rPr>
          <w:spacing w:val="-4"/>
          <w:sz w:val="24"/>
        </w:rPr>
        <w:t> </w:t>
      </w:r>
      <w:r>
        <w:rPr>
          <w:sz w:val="24"/>
        </w:rPr>
        <w:t>inclusa.</w:t>
      </w:r>
    </w:p>
    <w:p>
      <w:pPr>
        <w:pStyle w:val="BodyText"/>
      </w:pPr>
    </w:p>
    <w:p>
      <w:pPr>
        <w:pStyle w:val="Heading2"/>
        <w:spacing w:line="269" w:lineRule="exact"/>
      </w:pPr>
      <w:r>
        <w:rPr>
          <w:color w:val="365F91"/>
        </w:rPr>
        <w:t>Art. 5 – Termini e modalità di presentazione della candidatura</w:t>
      </w:r>
    </w:p>
    <w:p>
      <w:pPr>
        <w:pStyle w:val="ListParagraph"/>
        <w:numPr>
          <w:ilvl w:val="0"/>
          <w:numId w:val="4"/>
        </w:numPr>
        <w:tabs>
          <w:tab w:pos="397" w:val="left" w:leader="none"/>
        </w:tabs>
        <w:spacing w:line="240" w:lineRule="auto" w:before="0" w:after="0"/>
        <w:ind w:left="396" w:right="151" w:hanging="284"/>
        <w:jc w:val="both"/>
        <w:rPr>
          <w:sz w:val="24"/>
        </w:rPr>
      </w:pPr>
      <w:r>
        <w:rPr>
          <w:sz w:val="24"/>
        </w:rPr>
        <w:t>La</w:t>
      </w:r>
      <w:r>
        <w:rPr>
          <w:spacing w:val="-12"/>
          <w:sz w:val="24"/>
        </w:rPr>
        <w:t> </w:t>
      </w:r>
      <w:r>
        <w:rPr>
          <w:sz w:val="24"/>
        </w:rPr>
        <w:t>presentazione</w:t>
      </w:r>
      <w:r>
        <w:rPr>
          <w:spacing w:val="-14"/>
          <w:sz w:val="24"/>
        </w:rPr>
        <w:t> </w:t>
      </w:r>
      <w:r>
        <w:rPr>
          <w:sz w:val="24"/>
        </w:rPr>
        <w:t>della</w:t>
      </w:r>
      <w:r>
        <w:rPr>
          <w:spacing w:val="-12"/>
          <w:sz w:val="24"/>
        </w:rPr>
        <w:t> </w:t>
      </w:r>
      <w:r>
        <w:rPr>
          <w:sz w:val="24"/>
        </w:rPr>
        <w:t>proposta</w:t>
      </w:r>
      <w:r>
        <w:rPr>
          <w:spacing w:val="-12"/>
          <w:sz w:val="24"/>
        </w:rPr>
        <w:t> </w:t>
      </w:r>
      <w:r>
        <w:rPr>
          <w:sz w:val="24"/>
        </w:rPr>
        <w:t>progettuale</w:t>
      </w:r>
      <w:r>
        <w:rPr>
          <w:spacing w:val="-13"/>
          <w:sz w:val="24"/>
        </w:rPr>
        <w:t> </w:t>
      </w:r>
      <w:r>
        <w:rPr>
          <w:sz w:val="24"/>
        </w:rPr>
        <w:t>avviene</w:t>
      </w:r>
      <w:r>
        <w:rPr>
          <w:spacing w:val="-14"/>
          <w:sz w:val="24"/>
        </w:rPr>
        <w:t> </w:t>
      </w:r>
      <w:r>
        <w:rPr>
          <w:sz w:val="24"/>
        </w:rPr>
        <w:t>accedendo</w:t>
      </w:r>
      <w:r>
        <w:rPr>
          <w:spacing w:val="-12"/>
          <w:sz w:val="24"/>
        </w:rPr>
        <w:t> </w:t>
      </w:r>
      <w:r>
        <w:rPr>
          <w:sz w:val="24"/>
        </w:rPr>
        <w:t>nell’apposita</w:t>
      </w:r>
      <w:r>
        <w:rPr>
          <w:spacing w:val="-13"/>
          <w:sz w:val="24"/>
        </w:rPr>
        <w:t> </w:t>
      </w:r>
      <w:r>
        <w:rPr>
          <w:sz w:val="24"/>
        </w:rPr>
        <w:t>area</w:t>
      </w:r>
      <w:r>
        <w:rPr>
          <w:spacing w:val="-8"/>
          <w:sz w:val="24"/>
        </w:rPr>
        <w:t> </w:t>
      </w:r>
      <w:r>
        <w:rPr>
          <w:sz w:val="24"/>
        </w:rPr>
        <w:t>disponibile</w:t>
      </w:r>
      <w:r>
        <w:rPr>
          <w:spacing w:val="-13"/>
          <w:sz w:val="24"/>
        </w:rPr>
        <w:t> </w:t>
      </w:r>
      <w:r>
        <w:rPr>
          <w:sz w:val="24"/>
        </w:rPr>
        <w:t>alla</w:t>
      </w:r>
      <w:r>
        <w:rPr>
          <w:spacing w:val="-12"/>
          <w:sz w:val="24"/>
        </w:rPr>
        <w:t> </w:t>
      </w:r>
      <w:r>
        <w:rPr>
          <w:sz w:val="24"/>
        </w:rPr>
        <w:t>voce “Accesso ai servizi”, presente sulla parte superiore della </w:t>
      </w:r>
      <w:r>
        <w:rPr>
          <w:i/>
          <w:sz w:val="24"/>
        </w:rPr>
        <w:t>homepage </w:t>
      </w:r>
      <w:r>
        <w:rPr>
          <w:sz w:val="24"/>
        </w:rPr>
        <w:t>del sito dedicato al PON “Per la Scuola” 2014-2020, reperibile all’indirizzo</w:t>
      </w:r>
      <w:r>
        <w:rPr>
          <w:color w:val="0000FF"/>
          <w:sz w:val="24"/>
        </w:rPr>
        <w:t> </w:t>
      </w:r>
      <w:hyperlink r:id="rId11">
        <w:r>
          <w:rPr>
            <w:i/>
            <w:color w:val="0000FF"/>
            <w:sz w:val="24"/>
            <w:u w:val="single" w:color="0000FF"/>
          </w:rPr>
          <w:t>http://www.istruzione.it/pon/</w:t>
        </w:r>
        <w:r>
          <w:rPr>
            <w:i/>
            <w:sz w:val="24"/>
          </w:rPr>
          <w:t>,</w:t>
        </w:r>
      </w:hyperlink>
      <w:r>
        <w:rPr>
          <w:i/>
          <w:sz w:val="24"/>
        </w:rPr>
        <w:t> </w:t>
      </w:r>
      <w:r>
        <w:rPr>
          <w:sz w:val="24"/>
        </w:rPr>
        <w:t>e selezionando la sottovoce “Gestione degli Interventi” (GPU) per accedere al sistema e compilare i dati richiesti per la candidatura.</w:t>
      </w:r>
    </w:p>
    <w:p>
      <w:pPr>
        <w:pStyle w:val="ListParagraph"/>
        <w:numPr>
          <w:ilvl w:val="0"/>
          <w:numId w:val="4"/>
        </w:numPr>
        <w:tabs>
          <w:tab w:pos="397" w:val="left" w:leader="none"/>
        </w:tabs>
        <w:spacing w:line="240" w:lineRule="auto" w:before="1" w:after="0"/>
        <w:ind w:left="396" w:right="151" w:hanging="284"/>
        <w:jc w:val="both"/>
        <w:rPr>
          <w:sz w:val="24"/>
        </w:rPr>
      </w:pPr>
      <w:r>
        <w:rPr>
          <w:sz w:val="24"/>
        </w:rPr>
        <w:t>Per ogni Istituzione scolastica sono abilitati, in automatico dal SIDI, sia il Dirigente scolastico sia il Direttore dei servizi generali e amministrativi che, selezionando il </w:t>
      </w:r>
      <w:r>
        <w:rPr>
          <w:i/>
          <w:sz w:val="24"/>
        </w:rPr>
        <w:t>link </w:t>
      </w:r>
      <w:r>
        <w:rPr>
          <w:sz w:val="24"/>
        </w:rPr>
        <w:t>“Gestione degli interventi” e utilizzando le credenziali con cui accedono a tutti i servizi informatici del Ministero dell’istruzione, entrano nel Sistema GPU. Una volta effettuato il </w:t>
      </w:r>
      <w:r>
        <w:rPr>
          <w:i/>
          <w:sz w:val="24"/>
        </w:rPr>
        <w:t>login </w:t>
      </w:r>
      <w:r>
        <w:rPr>
          <w:sz w:val="24"/>
        </w:rPr>
        <w:t>al Sistema GPU, DS e DSGA potranno procedere alla compilazione della scheda anagrafica individuale, propedeutica a qualsiasi altra attività, e alla verifica della correttezza dei dati inseriti nella scheda anagrafica della</w:t>
      </w:r>
      <w:r>
        <w:rPr>
          <w:spacing w:val="-6"/>
          <w:sz w:val="24"/>
        </w:rPr>
        <w:t> </w:t>
      </w:r>
      <w:r>
        <w:rPr>
          <w:sz w:val="24"/>
        </w:rPr>
        <w:t>scuola.</w:t>
      </w:r>
    </w:p>
    <w:p>
      <w:pPr>
        <w:pStyle w:val="ListParagraph"/>
        <w:numPr>
          <w:ilvl w:val="0"/>
          <w:numId w:val="4"/>
        </w:numPr>
        <w:tabs>
          <w:tab w:pos="397" w:val="left" w:leader="none"/>
        </w:tabs>
        <w:spacing w:line="269" w:lineRule="exact" w:before="0" w:after="0"/>
        <w:ind w:left="396" w:right="0" w:hanging="284"/>
        <w:jc w:val="left"/>
        <w:rPr>
          <w:sz w:val="24"/>
        </w:rPr>
      </w:pPr>
      <w:r>
        <w:rPr>
          <w:sz w:val="24"/>
        </w:rPr>
        <w:t>La procedura di presentazione della candidatura si articola nelle seguenti</w:t>
      </w:r>
      <w:r>
        <w:rPr>
          <w:spacing w:val="-10"/>
          <w:sz w:val="24"/>
        </w:rPr>
        <w:t> </w:t>
      </w:r>
      <w:r>
        <w:rPr>
          <w:sz w:val="24"/>
        </w:rPr>
        <w:t>fasi:</w:t>
      </w:r>
    </w:p>
    <w:p>
      <w:pPr>
        <w:pStyle w:val="ListParagraph"/>
        <w:numPr>
          <w:ilvl w:val="1"/>
          <w:numId w:val="4"/>
        </w:numPr>
        <w:tabs>
          <w:tab w:pos="1193" w:val="left" w:leader="none"/>
          <w:tab w:pos="1194" w:val="left" w:leader="none"/>
        </w:tabs>
        <w:spacing w:line="269" w:lineRule="exact" w:before="0" w:after="0"/>
        <w:ind w:left="1193" w:right="0" w:hanging="360"/>
        <w:jc w:val="left"/>
        <w:rPr>
          <w:sz w:val="24"/>
        </w:rPr>
      </w:pPr>
      <w:r>
        <w:rPr>
          <w:sz w:val="24"/>
        </w:rPr>
        <w:t>compilare i campi con i dati necessari sul Sistema</w:t>
      </w:r>
      <w:r>
        <w:rPr>
          <w:spacing w:val="-5"/>
          <w:sz w:val="24"/>
        </w:rPr>
        <w:t> </w:t>
      </w:r>
      <w:r>
        <w:rPr>
          <w:sz w:val="24"/>
        </w:rPr>
        <w:t>GPU;</w:t>
      </w:r>
    </w:p>
    <w:p>
      <w:pPr>
        <w:pStyle w:val="ListParagraph"/>
        <w:numPr>
          <w:ilvl w:val="1"/>
          <w:numId w:val="4"/>
        </w:numPr>
        <w:tabs>
          <w:tab w:pos="1194" w:val="left" w:leader="none"/>
        </w:tabs>
        <w:spacing w:line="240" w:lineRule="auto" w:before="2" w:after="0"/>
        <w:ind w:left="1193" w:right="149" w:hanging="360"/>
        <w:jc w:val="both"/>
        <w:rPr>
          <w:sz w:val="24"/>
        </w:rPr>
      </w:pPr>
      <w:r>
        <w:rPr>
          <w:sz w:val="24"/>
        </w:rPr>
        <w:t>procedere alla generazione del CUP, inserendolo all’interno dello specifico campo della candidatura,</w:t>
      </w:r>
      <w:r>
        <w:rPr>
          <w:spacing w:val="-17"/>
          <w:sz w:val="24"/>
        </w:rPr>
        <w:t> </w:t>
      </w:r>
      <w:r>
        <w:rPr>
          <w:sz w:val="24"/>
        </w:rPr>
        <w:t>secondo</w:t>
      </w:r>
      <w:r>
        <w:rPr>
          <w:spacing w:val="-16"/>
          <w:sz w:val="24"/>
        </w:rPr>
        <w:t> </w:t>
      </w:r>
      <w:r>
        <w:rPr>
          <w:sz w:val="24"/>
        </w:rPr>
        <w:t>le</w:t>
      </w:r>
      <w:r>
        <w:rPr>
          <w:spacing w:val="-15"/>
          <w:sz w:val="24"/>
        </w:rPr>
        <w:t> </w:t>
      </w:r>
      <w:r>
        <w:rPr>
          <w:sz w:val="24"/>
        </w:rPr>
        <w:t>indicazioni</w:t>
      </w:r>
      <w:r>
        <w:rPr>
          <w:spacing w:val="-18"/>
          <w:sz w:val="24"/>
        </w:rPr>
        <w:t> </w:t>
      </w:r>
      <w:r>
        <w:rPr>
          <w:sz w:val="24"/>
        </w:rPr>
        <w:t>contenute</w:t>
      </w:r>
      <w:r>
        <w:rPr>
          <w:spacing w:val="-14"/>
          <w:sz w:val="24"/>
        </w:rPr>
        <w:t> </w:t>
      </w:r>
      <w:r>
        <w:rPr>
          <w:sz w:val="24"/>
        </w:rPr>
        <w:t>nell’apposito</w:t>
      </w:r>
      <w:r>
        <w:rPr>
          <w:spacing w:val="-16"/>
          <w:sz w:val="24"/>
        </w:rPr>
        <w:t> </w:t>
      </w:r>
      <w:r>
        <w:rPr>
          <w:sz w:val="24"/>
        </w:rPr>
        <w:t>manuale</w:t>
      </w:r>
      <w:r>
        <w:rPr>
          <w:spacing w:val="-15"/>
          <w:sz w:val="24"/>
        </w:rPr>
        <w:t> </w:t>
      </w:r>
      <w:r>
        <w:rPr>
          <w:sz w:val="24"/>
        </w:rPr>
        <w:t>presente</w:t>
      </w:r>
      <w:r>
        <w:rPr>
          <w:spacing w:val="-17"/>
          <w:sz w:val="24"/>
        </w:rPr>
        <w:t> </w:t>
      </w:r>
      <w:r>
        <w:rPr>
          <w:sz w:val="24"/>
        </w:rPr>
        <w:t>al</w:t>
      </w:r>
      <w:r>
        <w:rPr>
          <w:spacing w:val="-18"/>
          <w:sz w:val="24"/>
        </w:rPr>
        <w:t> </w:t>
      </w:r>
      <w:r>
        <w:rPr>
          <w:sz w:val="24"/>
        </w:rPr>
        <w:t>seguente</w:t>
      </w:r>
      <w:r>
        <w:rPr>
          <w:spacing w:val="-8"/>
          <w:sz w:val="24"/>
        </w:rPr>
        <w:t> </w:t>
      </w:r>
      <w:r>
        <w:rPr>
          <w:i/>
          <w:sz w:val="24"/>
        </w:rPr>
        <w:t>link</w:t>
      </w:r>
      <w:r>
        <w:rPr>
          <w:sz w:val="24"/>
        </w:rPr>
        <w:t>:</w:t>
      </w:r>
      <w:r>
        <w:rPr>
          <w:color w:val="0000FF"/>
          <w:sz w:val="24"/>
          <w:u w:val="single" w:color="0000FF"/>
        </w:rPr>
        <w:t> </w:t>
      </w:r>
      <w:hyperlink r:id="rId12">
        <w:r>
          <w:rPr>
            <w:i/>
            <w:color w:val="0000FF"/>
            <w:sz w:val="24"/>
            <w:u w:val="single" w:color="0000FF"/>
          </w:rPr>
          <w:t>https://www.istruzione.it/pon/ponkit_disposizioni.html</w:t>
        </w:r>
        <w:r>
          <w:rPr>
            <w:i/>
            <w:color w:val="0000FF"/>
            <w:sz w:val="24"/>
          </w:rPr>
          <w:t> </w:t>
        </w:r>
      </w:hyperlink>
      <w:r>
        <w:rPr>
          <w:sz w:val="24"/>
        </w:rPr>
        <w:t>e sulla base dell’apposito</w:t>
      </w:r>
      <w:r>
        <w:rPr>
          <w:spacing w:val="-9"/>
          <w:sz w:val="24"/>
        </w:rPr>
        <w:t> </w:t>
      </w:r>
      <w:r>
        <w:rPr>
          <w:i/>
          <w:sz w:val="24"/>
        </w:rPr>
        <w:t>template</w:t>
      </w:r>
      <w:r>
        <w:rPr>
          <w:sz w:val="24"/>
        </w:rPr>
        <w:t>;</w:t>
      </w:r>
    </w:p>
    <w:p>
      <w:pPr>
        <w:pStyle w:val="ListParagraph"/>
        <w:numPr>
          <w:ilvl w:val="1"/>
          <w:numId w:val="4"/>
        </w:numPr>
        <w:tabs>
          <w:tab w:pos="1193" w:val="left" w:leader="none"/>
          <w:tab w:pos="1194" w:val="left" w:leader="none"/>
        </w:tabs>
        <w:spacing w:line="269" w:lineRule="exact" w:before="0" w:after="0"/>
        <w:ind w:left="1193" w:right="0" w:hanging="360"/>
        <w:jc w:val="left"/>
        <w:rPr>
          <w:sz w:val="24"/>
        </w:rPr>
      </w:pPr>
      <w:r>
        <w:rPr>
          <w:sz w:val="24"/>
        </w:rPr>
        <w:t>scaricare una copia della candidatura dopo averla inoltrata su</w:t>
      </w:r>
      <w:r>
        <w:rPr>
          <w:spacing w:val="-3"/>
          <w:sz w:val="24"/>
        </w:rPr>
        <w:t> </w:t>
      </w:r>
      <w:r>
        <w:rPr>
          <w:sz w:val="24"/>
        </w:rPr>
        <w:t>GPU;</w:t>
      </w:r>
    </w:p>
    <w:p>
      <w:pPr>
        <w:pStyle w:val="ListParagraph"/>
        <w:numPr>
          <w:ilvl w:val="1"/>
          <w:numId w:val="4"/>
        </w:numPr>
        <w:tabs>
          <w:tab w:pos="1194" w:val="left" w:leader="none"/>
        </w:tabs>
        <w:spacing w:line="240" w:lineRule="auto" w:before="1" w:after="0"/>
        <w:ind w:left="1193" w:right="149" w:hanging="360"/>
        <w:jc w:val="both"/>
        <w:rPr>
          <w:sz w:val="24"/>
        </w:rPr>
      </w:pPr>
      <w:r>
        <w:rPr>
          <w:sz w:val="24"/>
        </w:rPr>
        <w:t>firmare</w:t>
      </w:r>
      <w:r>
        <w:rPr>
          <w:spacing w:val="-8"/>
          <w:sz w:val="24"/>
        </w:rPr>
        <w:t> </w:t>
      </w:r>
      <w:r>
        <w:rPr>
          <w:sz w:val="24"/>
        </w:rPr>
        <w:t>digitalmente</w:t>
      </w:r>
      <w:r>
        <w:rPr>
          <w:spacing w:val="-7"/>
          <w:sz w:val="24"/>
        </w:rPr>
        <w:t> </w:t>
      </w:r>
      <w:r>
        <w:rPr>
          <w:sz w:val="24"/>
        </w:rPr>
        <w:t>la</w:t>
      </w:r>
      <w:r>
        <w:rPr>
          <w:spacing w:val="-6"/>
          <w:sz w:val="24"/>
        </w:rPr>
        <w:t> </w:t>
      </w:r>
      <w:r>
        <w:rPr>
          <w:sz w:val="24"/>
        </w:rPr>
        <w:t>candidatura</w:t>
      </w:r>
      <w:r>
        <w:rPr>
          <w:spacing w:val="-6"/>
          <w:sz w:val="24"/>
        </w:rPr>
        <w:t> </w:t>
      </w:r>
      <w:r>
        <w:rPr>
          <w:sz w:val="24"/>
        </w:rPr>
        <w:t>senza</w:t>
      </w:r>
      <w:r>
        <w:rPr>
          <w:spacing w:val="-8"/>
          <w:sz w:val="24"/>
        </w:rPr>
        <w:t> </w:t>
      </w:r>
      <w:r>
        <w:rPr>
          <w:sz w:val="24"/>
        </w:rPr>
        <w:t>apportare</w:t>
      </w:r>
      <w:r>
        <w:rPr>
          <w:spacing w:val="-8"/>
          <w:sz w:val="24"/>
        </w:rPr>
        <w:t> </w:t>
      </w:r>
      <w:r>
        <w:rPr>
          <w:sz w:val="24"/>
        </w:rPr>
        <w:t>a</w:t>
      </w:r>
      <w:r>
        <w:rPr>
          <w:spacing w:val="-10"/>
          <w:sz w:val="24"/>
        </w:rPr>
        <w:t> </w:t>
      </w:r>
      <w:r>
        <w:rPr>
          <w:sz w:val="24"/>
        </w:rPr>
        <w:t>quest’ultima</w:t>
      </w:r>
      <w:r>
        <w:rPr>
          <w:spacing w:val="-7"/>
          <w:sz w:val="24"/>
        </w:rPr>
        <w:t> </w:t>
      </w:r>
      <w:r>
        <w:rPr>
          <w:sz w:val="24"/>
        </w:rPr>
        <w:t>alcuna</w:t>
      </w:r>
      <w:r>
        <w:rPr>
          <w:spacing w:val="-7"/>
          <w:sz w:val="24"/>
        </w:rPr>
        <w:t> </w:t>
      </w:r>
      <w:r>
        <w:rPr>
          <w:sz w:val="24"/>
        </w:rPr>
        <w:t>modifica.</w:t>
      </w:r>
      <w:r>
        <w:rPr>
          <w:spacing w:val="-7"/>
          <w:sz w:val="24"/>
        </w:rPr>
        <w:t> </w:t>
      </w:r>
      <w:r>
        <w:rPr>
          <w:sz w:val="24"/>
        </w:rPr>
        <w:t>Si</w:t>
      </w:r>
      <w:r>
        <w:rPr>
          <w:spacing w:val="-8"/>
          <w:sz w:val="24"/>
        </w:rPr>
        <w:t> </w:t>
      </w:r>
      <w:r>
        <w:rPr>
          <w:sz w:val="24"/>
        </w:rPr>
        <w:t>ricorda che il progetto deve essere firmato digitalmente dal Dirigente scolastico o, su sua formale delega,</w:t>
      </w:r>
      <w:r>
        <w:rPr>
          <w:spacing w:val="-13"/>
          <w:sz w:val="24"/>
        </w:rPr>
        <w:t> </w:t>
      </w:r>
      <w:r>
        <w:rPr>
          <w:sz w:val="24"/>
        </w:rPr>
        <w:t>dal</w:t>
      </w:r>
      <w:r>
        <w:rPr>
          <w:spacing w:val="-12"/>
          <w:sz w:val="24"/>
        </w:rPr>
        <w:t> </w:t>
      </w:r>
      <w:r>
        <w:rPr>
          <w:sz w:val="24"/>
        </w:rPr>
        <w:t>DSGA,</w:t>
      </w:r>
      <w:r>
        <w:rPr>
          <w:spacing w:val="-13"/>
          <w:sz w:val="24"/>
        </w:rPr>
        <w:t> </w:t>
      </w:r>
      <w:r>
        <w:rPr>
          <w:sz w:val="24"/>
        </w:rPr>
        <w:t>e</w:t>
      </w:r>
      <w:r>
        <w:rPr>
          <w:spacing w:val="-14"/>
          <w:sz w:val="24"/>
        </w:rPr>
        <w:t> </w:t>
      </w:r>
      <w:r>
        <w:rPr>
          <w:sz w:val="24"/>
        </w:rPr>
        <w:t>che</w:t>
      </w:r>
      <w:r>
        <w:rPr>
          <w:spacing w:val="-12"/>
          <w:sz w:val="24"/>
        </w:rPr>
        <w:t> </w:t>
      </w:r>
      <w:r>
        <w:rPr>
          <w:sz w:val="24"/>
        </w:rPr>
        <w:t>il</w:t>
      </w:r>
      <w:r>
        <w:rPr>
          <w:spacing w:val="-14"/>
          <w:sz w:val="24"/>
        </w:rPr>
        <w:t> </w:t>
      </w:r>
      <w:r>
        <w:rPr>
          <w:i/>
          <w:sz w:val="24"/>
        </w:rPr>
        <w:t>file</w:t>
      </w:r>
      <w:r>
        <w:rPr>
          <w:i/>
          <w:spacing w:val="-14"/>
          <w:sz w:val="24"/>
        </w:rPr>
        <w:t> </w:t>
      </w:r>
      <w:r>
        <w:rPr>
          <w:sz w:val="24"/>
        </w:rPr>
        <w:t>deve</w:t>
      </w:r>
      <w:r>
        <w:rPr>
          <w:spacing w:val="-12"/>
          <w:sz w:val="24"/>
        </w:rPr>
        <w:t> </w:t>
      </w:r>
      <w:r>
        <w:rPr>
          <w:sz w:val="24"/>
        </w:rPr>
        <w:t>essere</w:t>
      </w:r>
      <w:r>
        <w:rPr>
          <w:spacing w:val="-13"/>
          <w:sz w:val="24"/>
        </w:rPr>
        <w:t> </w:t>
      </w:r>
      <w:r>
        <w:rPr>
          <w:sz w:val="24"/>
        </w:rPr>
        <w:t>esclusivamente</w:t>
      </w:r>
      <w:r>
        <w:rPr>
          <w:spacing w:val="-12"/>
          <w:sz w:val="24"/>
        </w:rPr>
        <w:t> </w:t>
      </w:r>
      <w:r>
        <w:rPr>
          <w:sz w:val="24"/>
        </w:rPr>
        <w:t>in</w:t>
      </w:r>
      <w:r>
        <w:rPr>
          <w:spacing w:val="-13"/>
          <w:sz w:val="24"/>
        </w:rPr>
        <w:t> </w:t>
      </w:r>
      <w:r>
        <w:rPr>
          <w:sz w:val="24"/>
        </w:rPr>
        <w:t>formato</w:t>
      </w:r>
      <w:r>
        <w:rPr>
          <w:spacing w:val="-12"/>
          <w:sz w:val="24"/>
        </w:rPr>
        <w:t> </w:t>
      </w:r>
      <w:r>
        <w:rPr>
          <w:sz w:val="24"/>
        </w:rPr>
        <w:t>.pdf</w:t>
      </w:r>
      <w:r>
        <w:rPr>
          <w:spacing w:val="-14"/>
          <w:sz w:val="24"/>
        </w:rPr>
        <w:t> </w:t>
      </w:r>
      <w:r>
        <w:rPr>
          <w:sz w:val="24"/>
        </w:rPr>
        <w:t>o</w:t>
      </w:r>
      <w:r>
        <w:rPr>
          <w:spacing w:val="-13"/>
          <w:sz w:val="24"/>
        </w:rPr>
        <w:t> </w:t>
      </w:r>
      <w:r>
        <w:rPr>
          <w:sz w:val="24"/>
        </w:rPr>
        <w:t>.pdf.p7m.</w:t>
      </w:r>
      <w:r>
        <w:rPr>
          <w:spacing w:val="-13"/>
          <w:sz w:val="24"/>
        </w:rPr>
        <w:t> </w:t>
      </w:r>
      <w:r>
        <w:rPr>
          <w:sz w:val="24"/>
        </w:rPr>
        <w:t>o</w:t>
      </w:r>
      <w:r>
        <w:rPr>
          <w:spacing w:val="-13"/>
          <w:sz w:val="24"/>
        </w:rPr>
        <w:t> </w:t>
      </w:r>
      <w:r>
        <w:rPr>
          <w:sz w:val="24"/>
        </w:rPr>
        <w:t>.p7m);</w:t>
      </w:r>
    </w:p>
    <w:p>
      <w:pPr>
        <w:pStyle w:val="ListParagraph"/>
        <w:numPr>
          <w:ilvl w:val="1"/>
          <w:numId w:val="4"/>
        </w:numPr>
        <w:tabs>
          <w:tab w:pos="1193" w:val="left" w:leader="none"/>
          <w:tab w:pos="1194" w:val="left" w:leader="none"/>
        </w:tabs>
        <w:spacing w:line="269" w:lineRule="exact" w:before="0" w:after="0"/>
        <w:ind w:left="1193" w:right="0" w:hanging="360"/>
        <w:jc w:val="left"/>
        <w:rPr>
          <w:sz w:val="24"/>
        </w:rPr>
      </w:pPr>
      <w:r>
        <w:rPr>
          <w:sz w:val="24"/>
        </w:rPr>
        <w:t>allegare</w:t>
      </w:r>
      <w:r>
        <w:rPr>
          <w:spacing w:val="37"/>
          <w:sz w:val="24"/>
        </w:rPr>
        <w:t> </w:t>
      </w:r>
      <w:r>
        <w:rPr>
          <w:sz w:val="24"/>
        </w:rPr>
        <w:t>la</w:t>
      </w:r>
      <w:r>
        <w:rPr>
          <w:spacing w:val="37"/>
          <w:sz w:val="24"/>
        </w:rPr>
        <w:t> </w:t>
      </w:r>
      <w:r>
        <w:rPr>
          <w:sz w:val="24"/>
        </w:rPr>
        <w:t>candidatura</w:t>
      </w:r>
      <w:r>
        <w:rPr>
          <w:spacing w:val="41"/>
          <w:sz w:val="24"/>
        </w:rPr>
        <w:t> </w:t>
      </w:r>
      <w:r>
        <w:rPr>
          <w:sz w:val="24"/>
        </w:rPr>
        <w:t>firmata</w:t>
      </w:r>
      <w:r>
        <w:rPr>
          <w:spacing w:val="39"/>
          <w:sz w:val="24"/>
        </w:rPr>
        <w:t> </w:t>
      </w:r>
      <w:r>
        <w:rPr>
          <w:sz w:val="24"/>
        </w:rPr>
        <w:t>digitalmente</w:t>
      </w:r>
      <w:r>
        <w:rPr>
          <w:spacing w:val="37"/>
          <w:sz w:val="24"/>
        </w:rPr>
        <w:t> </w:t>
      </w:r>
      <w:r>
        <w:rPr>
          <w:sz w:val="24"/>
        </w:rPr>
        <w:t>sul</w:t>
      </w:r>
      <w:r>
        <w:rPr>
          <w:spacing w:val="37"/>
          <w:sz w:val="24"/>
        </w:rPr>
        <w:t> </w:t>
      </w:r>
      <w:r>
        <w:rPr>
          <w:sz w:val="24"/>
        </w:rPr>
        <w:t>“sistema</w:t>
      </w:r>
      <w:r>
        <w:rPr>
          <w:spacing w:val="39"/>
          <w:sz w:val="24"/>
        </w:rPr>
        <w:t> </w:t>
      </w:r>
      <w:r>
        <w:rPr>
          <w:sz w:val="24"/>
        </w:rPr>
        <w:t>finanziario”</w:t>
      </w:r>
      <w:r>
        <w:rPr>
          <w:spacing w:val="35"/>
          <w:sz w:val="24"/>
        </w:rPr>
        <w:t> </w:t>
      </w:r>
      <w:r>
        <w:rPr>
          <w:sz w:val="24"/>
        </w:rPr>
        <w:t>secondo</w:t>
      </w:r>
      <w:r>
        <w:rPr>
          <w:spacing w:val="38"/>
          <w:sz w:val="24"/>
        </w:rPr>
        <w:t> </w:t>
      </w:r>
      <w:r>
        <w:rPr>
          <w:sz w:val="24"/>
        </w:rPr>
        <w:t>le</w:t>
      </w:r>
      <w:r>
        <w:rPr>
          <w:spacing w:val="39"/>
          <w:sz w:val="24"/>
        </w:rPr>
        <w:t> </w:t>
      </w:r>
      <w:r>
        <w:rPr>
          <w:sz w:val="24"/>
        </w:rPr>
        <w:t>seguenti</w:t>
      </w:r>
    </w:p>
    <w:p>
      <w:pPr>
        <w:pStyle w:val="BodyText"/>
        <w:spacing w:line="269" w:lineRule="exact" w:before="1"/>
        <w:ind w:left="1193"/>
      </w:pPr>
      <w:r>
        <w:rPr/>
        <w:t>istruzioni:</w:t>
      </w:r>
    </w:p>
    <w:p>
      <w:pPr>
        <w:pStyle w:val="ListParagraph"/>
        <w:numPr>
          <w:ilvl w:val="2"/>
          <w:numId w:val="4"/>
        </w:numPr>
        <w:tabs>
          <w:tab w:pos="1532" w:val="left" w:leader="none"/>
        </w:tabs>
        <w:spacing w:line="269" w:lineRule="exact" w:before="0" w:after="0"/>
        <w:ind w:left="1531" w:right="0" w:hanging="249"/>
        <w:jc w:val="left"/>
        <w:rPr>
          <w:sz w:val="24"/>
        </w:rPr>
      </w:pPr>
      <w:r>
        <w:rPr>
          <w:sz w:val="24"/>
        </w:rPr>
        <w:t>selezionare</w:t>
      </w:r>
      <w:r>
        <w:rPr>
          <w:spacing w:val="-11"/>
          <w:sz w:val="24"/>
        </w:rPr>
        <w:t> </w:t>
      </w:r>
      <w:r>
        <w:rPr>
          <w:sz w:val="24"/>
        </w:rPr>
        <w:t>il</w:t>
      </w:r>
      <w:r>
        <w:rPr>
          <w:spacing w:val="-9"/>
          <w:sz w:val="24"/>
        </w:rPr>
        <w:t> </w:t>
      </w:r>
      <w:r>
        <w:rPr>
          <w:i/>
          <w:sz w:val="24"/>
        </w:rPr>
        <w:t>link</w:t>
      </w:r>
      <w:r>
        <w:rPr>
          <w:i/>
          <w:spacing w:val="-10"/>
          <w:sz w:val="24"/>
        </w:rPr>
        <w:t> </w:t>
      </w:r>
      <w:r>
        <w:rPr>
          <w:sz w:val="24"/>
        </w:rPr>
        <w:t>“Gestione</w:t>
      </w:r>
      <w:r>
        <w:rPr>
          <w:spacing w:val="-10"/>
          <w:sz w:val="24"/>
        </w:rPr>
        <w:t> </w:t>
      </w:r>
      <w:r>
        <w:rPr>
          <w:sz w:val="24"/>
        </w:rPr>
        <w:t>Finanziaria”</w:t>
      </w:r>
      <w:r>
        <w:rPr>
          <w:spacing w:val="-9"/>
          <w:sz w:val="24"/>
        </w:rPr>
        <w:t> </w:t>
      </w:r>
      <w:r>
        <w:rPr>
          <w:sz w:val="24"/>
        </w:rPr>
        <w:t>presente</w:t>
      </w:r>
      <w:r>
        <w:rPr>
          <w:spacing w:val="-12"/>
          <w:sz w:val="24"/>
        </w:rPr>
        <w:t> </w:t>
      </w:r>
      <w:r>
        <w:rPr>
          <w:sz w:val="24"/>
        </w:rPr>
        <w:t>alla</w:t>
      </w:r>
      <w:r>
        <w:rPr>
          <w:spacing w:val="-10"/>
          <w:sz w:val="24"/>
        </w:rPr>
        <w:t> </w:t>
      </w:r>
      <w:r>
        <w:rPr>
          <w:sz w:val="24"/>
        </w:rPr>
        <w:t>pagina</w:t>
      </w:r>
      <w:r>
        <w:rPr>
          <w:color w:val="0000FF"/>
          <w:spacing w:val="-9"/>
          <w:sz w:val="24"/>
        </w:rPr>
        <w:t> </w:t>
      </w:r>
      <w:hyperlink r:id="rId11">
        <w:r>
          <w:rPr>
            <w:i/>
            <w:color w:val="0000FF"/>
            <w:sz w:val="24"/>
            <w:u w:val="single" w:color="0000FF"/>
          </w:rPr>
          <w:t>http://www.istruzione.it/pon/</w:t>
        </w:r>
        <w:r>
          <w:rPr>
            <w:sz w:val="24"/>
          </w:rPr>
          <w:t>,</w:t>
        </w:r>
      </w:hyperlink>
    </w:p>
    <w:p>
      <w:pPr>
        <w:pStyle w:val="BodyText"/>
        <w:spacing w:line="270" w:lineRule="exact" w:before="1"/>
        <w:ind w:left="1531"/>
      </w:pPr>
      <w:r>
        <w:rPr/>
        <w:t>utilizzando le credenziali SIDI e accedendo al menù “servizi” del SIDI;</w:t>
      </w:r>
    </w:p>
    <w:p>
      <w:pPr>
        <w:pStyle w:val="ListParagraph"/>
        <w:numPr>
          <w:ilvl w:val="2"/>
          <w:numId w:val="4"/>
        </w:numPr>
        <w:tabs>
          <w:tab w:pos="1532" w:val="left" w:leader="none"/>
          <w:tab w:pos="2561" w:val="left" w:leader="none"/>
          <w:tab w:pos="3426" w:val="left" w:leader="none"/>
          <w:tab w:pos="4603" w:val="left" w:leader="none"/>
          <w:tab w:pos="6962" w:val="left" w:leader="none"/>
          <w:tab w:pos="7293" w:val="left" w:leader="none"/>
          <w:tab w:pos="8933" w:val="left" w:leader="none"/>
        </w:tabs>
        <w:spacing w:line="270" w:lineRule="exact" w:before="0" w:after="0"/>
        <w:ind w:left="1531" w:right="0" w:hanging="305"/>
        <w:jc w:val="left"/>
        <w:rPr>
          <w:sz w:val="24"/>
        </w:rPr>
      </w:pPr>
      <w:r>
        <w:rPr>
          <w:sz w:val="24"/>
        </w:rPr>
        <w:t>accedere</w:t>
        <w:tab/>
        <w:t>all’area</w:t>
        <w:tab/>
        <w:t>“Gestione</w:t>
        <w:tab/>
        <w:t>Finanziario-Contabile”</w:t>
        <w:tab/>
        <w:t>e</w:t>
        <w:tab/>
        <w:t>all’applicazione</w:t>
        <w:tab/>
        <w:t>“Sistema</w:t>
      </w:r>
    </w:p>
    <w:p>
      <w:pPr>
        <w:pStyle w:val="BodyText"/>
        <w:spacing w:line="269" w:lineRule="exact" w:before="1"/>
        <w:ind w:left="1531"/>
      </w:pPr>
      <w:r>
        <w:rPr/>
        <w:t>Informativo Fondi (SIF) 2020”;</w:t>
      </w:r>
    </w:p>
    <w:p>
      <w:pPr>
        <w:pStyle w:val="ListParagraph"/>
        <w:numPr>
          <w:ilvl w:val="2"/>
          <w:numId w:val="4"/>
        </w:numPr>
        <w:tabs>
          <w:tab w:pos="1532" w:val="left" w:leader="none"/>
        </w:tabs>
        <w:spacing w:line="240" w:lineRule="auto" w:before="0" w:after="0"/>
        <w:ind w:left="1531" w:right="152" w:hanging="360"/>
        <w:jc w:val="left"/>
        <w:rPr>
          <w:sz w:val="24"/>
        </w:rPr>
      </w:pPr>
      <w:r>
        <w:rPr>
          <w:sz w:val="24"/>
        </w:rPr>
        <w:t>dal menu funzioni è disponibile, sotto la voce “Candidature”, la funzione “Trasmissione candidature</w:t>
      </w:r>
      <w:r>
        <w:rPr>
          <w:spacing w:val="-1"/>
          <w:sz w:val="24"/>
        </w:rPr>
        <w:t> </w:t>
      </w:r>
      <w:r>
        <w:rPr>
          <w:sz w:val="24"/>
        </w:rPr>
        <w:t>firmate”;</w:t>
      </w:r>
    </w:p>
    <w:p>
      <w:pPr>
        <w:pStyle w:val="ListParagraph"/>
        <w:numPr>
          <w:ilvl w:val="2"/>
          <w:numId w:val="4"/>
        </w:numPr>
        <w:tabs>
          <w:tab w:pos="1532" w:val="left" w:leader="none"/>
        </w:tabs>
        <w:spacing w:line="240" w:lineRule="auto" w:before="0" w:after="0"/>
        <w:ind w:left="1531" w:right="0" w:hanging="362"/>
        <w:jc w:val="left"/>
        <w:rPr>
          <w:sz w:val="24"/>
        </w:rPr>
      </w:pPr>
      <w:r>
        <w:rPr>
          <w:sz w:val="24"/>
        </w:rPr>
        <w:t>in fase di trasmissione, superati i controlli di validità del file, il progetto sarà</w:t>
      </w:r>
      <w:r>
        <w:rPr>
          <w:spacing w:val="-41"/>
          <w:sz w:val="24"/>
        </w:rPr>
        <w:t> </w:t>
      </w:r>
      <w:r>
        <w:rPr>
          <w:sz w:val="24"/>
        </w:rPr>
        <w:t>protocollato;</w:t>
      </w:r>
    </w:p>
    <w:p>
      <w:pPr>
        <w:pStyle w:val="ListParagraph"/>
        <w:numPr>
          <w:ilvl w:val="2"/>
          <w:numId w:val="4"/>
        </w:numPr>
        <w:tabs>
          <w:tab w:pos="1532" w:val="left" w:leader="none"/>
        </w:tabs>
        <w:spacing w:line="240" w:lineRule="auto" w:before="1" w:after="0"/>
        <w:ind w:left="1531" w:right="161" w:hanging="307"/>
        <w:jc w:val="left"/>
        <w:rPr>
          <w:sz w:val="24"/>
        </w:rPr>
      </w:pPr>
      <w:r>
        <w:rPr/>
        <w:pict>
          <v:group style="position:absolute;margin-left:66.224998pt;margin-top:26.518797pt;width:472.5pt;height:66.75pt;mso-position-horizontal-relative:page;mso-position-vertical-relative:paragraph;z-index:1120" coordorigin="1324,530" coordsize="9450,1335">
            <v:rect style="position:absolute;left:1332;top:537;width:9435;height:1320" filled="true" fillcolor="#ffffff" stroked="false">
              <v:fill type="solid"/>
            </v:rect>
            <v:shape style="position:absolute;left:1332;top:537;width:9435;height:1320" type="#_x0000_t202" filled="false" stroked="true" strokeweight=".75pt" strokecolor="#000000">
              <v:textbox inset="0,0,0,0">
                <w:txbxContent>
                  <w:p>
                    <w:pPr>
                      <w:spacing w:before="74"/>
                      <w:ind w:left="144" w:right="138" w:firstLine="0"/>
                      <w:jc w:val="both"/>
                      <w:rPr>
                        <w:sz w:val="24"/>
                      </w:rPr>
                    </w:pPr>
                    <w:r>
                      <w:rPr>
                        <w:sz w:val="24"/>
                      </w:rPr>
                      <w:t>L’area del sistema Informativo predisposta alla presentazione delle proposte (GPU) e quella del sistema Informativo Fondi (SIF) predisposta per la trasmissione delle candidature firmate digitalmente resteranno entrambe aperte dalle ore </w:t>
                    </w:r>
                    <w:r>
                      <w:rPr>
                        <w:b/>
                        <w:sz w:val="24"/>
                        <w:u w:val="single"/>
                      </w:rPr>
                      <w:t>12.00</w:t>
                    </w:r>
                    <w:r>
                      <w:rPr>
                        <w:b/>
                        <w:sz w:val="24"/>
                      </w:rPr>
                      <w:t> </w:t>
                    </w:r>
                    <w:r>
                      <w:rPr>
                        <w:sz w:val="24"/>
                      </w:rPr>
                      <w:t>del giorno </w:t>
                    </w:r>
                    <w:r>
                      <w:rPr>
                        <w:b/>
                        <w:sz w:val="24"/>
                        <w:u w:val="single"/>
                      </w:rPr>
                      <w:t>11 gennaio 2022</w:t>
                    </w:r>
                    <w:r>
                      <w:rPr>
                        <w:b/>
                        <w:sz w:val="24"/>
                      </w:rPr>
                      <w:t> </w:t>
                    </w:r>
                    <w:r>
                      <w:rPr>
                        <w:sz w:val="24"/>
                      </w:rPr>
                      <w:t>alle ore </w:t>
                    </w:r>
                    <w:r>
                      <w:rPr>
                        <w:b/>
                        <w:sz w:val="24"/>
                        <w:u w:val="single"/>
                      </w:rPr>
                      <w:t>12.00</w:t>
                    </w:r>
                    <w:r>
                      <w:rPr>
                        <w:b/>
                        <w:sz w:val="24"/>
                      </w:rPr>
                      <w:t> </w:t>
                    </w:r>
                    <w:r>
                      <w:rPr>
                        <w:sz w:val="24"/>
                      </w:rPr>
                      <w:t>del giorno </w:t>
                    </w:r>
                    <w:r>
                      <w:rPr>
                        <w:b/>
                        <w:sz w:val="24"/>
                        <w:u w:val="single"/>
                      </w:rPr>
                      <w:t>31 gennaio 2022</w:t>
                    </w:r>
                    <w:r>
                      <w:rPr>
                        <w:sz w:val="24"/>
                      </w:rPr>
                      <w:t>.</w:t>
                    </w:r>
                  </w:p>
                </w:txbxContent>
              </v:textbox>
              <v:stroke dashstyle="solid"/>
              <w10:wrap type="none"/>
            </v:shape>
            <w10:wrap type="none"/>
          </v:group>
        </w:pict>
      </w:r>
      <w:r>
        <w:rPr>
          <w:sz w:val="24"/>
        </w:rPr>
        <w:t>dalla stessa funzionalità la scuola può visualizzare il codice di protocollo assegnato e la relativa</w:t>
      </w:r>
      <w:r>
        <w:rPr>
          <w:spacing w:val="-1"/>
          <w:sz w:val="24"/>
        </w:rPr>
        <w:t> </w:t>
      </w:r>
      <w:r>
        <w:rPr>
          <w:sz w:val="24"/>
        </w:rPr>
        <w:t>data.</w:t>
      </w:r>
    </w:p>
    <w:p>
      <w:pPr>
        <w:spacing w:after="0" w:line="240" w:lineRule="auto"/>
        <w:jc w:val="left"/>
        <w:rPr>
          <w:sz w:val="24"/>
        </w:rPr>
        <w:sectPr>
          <w:pgSz w:w="11910" w:h="16840"/>
          <w:pgMar w:header="653" w:footer="514" w:top="1480" w:bottom="720" w:left="1020" w:right="980"/>
        </w:sectPr>
      </w:pPr>
    </w:p>
    <w:p>
      <w:pPr>
        <w:pStyle w:val="BodyText"/>
        <w:rPr>
          <w:sz w:val="20"/>
        </w:rPr>
      </w:pPr>
    </w:p>
    <w:p>
      <w:pPr>
        <w:pStyle w:val="BodyText"/>
        <w:spacing w:before="3"/>
        <w:rPr>
          <w:sz w:val="29"/>
        </w:rPr>
      </w:pPr>
    </w:p>
    <w:p>
      <w:pPr>
        <w:pStyle w:val="ListParagraph"/>
        <w:numPr>
          <w:ilvl w:val="0"/>
          <w:numId w:val="4"/>
        </w:numPr>
        <w:tabs>
          <w:tab w:pos="397" w:val="left" w:leader="none"/>
        </w:tabs>
        <w:spacing w:line="240" w:lineRule="auto" w:before="100" w:after="0"/>
        <w:ind w:left="396" w:right="152" w:hanging="284"/>
        <w:jc w:val="both"/>
        <w:rPr>
          <w:sz w:val="24"/>
        </w:rPr>
      </w:pPr>
      <w:r>
        <w:rPr>
          <w:sz w:val="24"/>
        </w:rPr>
        <w:t>Le indicazioni operative per il caricamento a sistema dei dati richiesti e per la trasmissione della candidatura firmata digitalmente sono contenute in appositi strumenti di supporto pubblicati sul sito del PON “Per la scuola” al </w:t>
      </w:r>
      <w:r>
        <w:rPr>
          <w:i/>
          <w:sz w:val="24"/>
        </w:rPr>
        <w:t>link:</w:t>
      </w:r>
      <w:r>
        <w:rPr>
          <w:i/>
          <w:color w:val="0000FF"/>
          <w:sz w:val="24"/>
        </w:rPr>
        <w:t> </w:t>
      </w:r>
      <w:hyperlink r:id="rId11">
        <w:r>
          <w:rPr>
            <w:i/>
            <w:color w:val="0000FF"/>
            <w:sz w:val="24"/>
            <w:u w:val="single" w:color="0000FF"/>
          </w:rPr>
          <w:t>http://www.istruzione.it/pon/</w:t>
        </w:r>
        <w:r>
          <w:rPr>
            <w:sz w:val="24"/>
          </w:rPr>
          <w:t>.</w:t>
        </w:r>
      </w:hyperlink>
      <w:r>
        <w:rPr>
          <w:sz w:val="24"/>
        </w:rPr>
        <w:t> Sul portale</w:t>
      </w:r>
      <w:hyperlink r:id="rId13">
        <w:r>
          <w:rPr>
            <w:color w:val="0000FF"/>
            <w:sz w:val="24"/>
            <w:u w:val="single" w:color="0000FF"/>
          </w:rPr>
          <w:t> </w:t>
        </w:r>
        <w:r>
          <w:rPr>
            <w:i/>
            <w:color w:val="0000FF"/>
            <w:sz w:val="24"/>
            <w:u w:val="single" w:color="0000FF"/>
          </w:rPr>
          <w:t>http://pon20142020.indire.it/portale</w:t>
        </w:r>
        <w:r>
          <w:rPr>
            <w:i/>
            <w:color w:val="0000FF"/>
            <w:sz w:val="24"/>
          </w:rPr>
          <w:t> </w:t>
        </w:r>
      </w:hyperlink>
      <w:r>
        <w:rPr>
          <w:sz w:val="24"/>
        </w:rPr>
        <w:t>è possibile altresì accedere al manuale di supporto e contattare il servizio di assistenza tecnica </w:t>
      </w:r>
      <w:r>
        <w:rPr>
          <w:i/>
          <w:sz w:val="24"/>
        </w:rPr>
        <w:t>on line </w:t>
      </w:r>
      <w:r>
        <w:rPr>
          <w:sz w:val="24"/>
        </w:rPr>
        <w:t>per il caricamento della proposta</w:t>
      </w:r>
      <w:r>
        <w:rPr>
          <w:spacing w:val="-11"/>
          <w:sz w:val="24"/>
        </w:rPr>
        <w:t> </w:t>
      </w:r>
      <w:r>
        <w:rPr>
          <w:sz w:val="24"/>
        </w:rPr>
        <w:t>progettuale.</w:t>
      </w:r>
    </w:p>
    <w:p>
      <w:pPr>
        <w:pStyle w:val="ListParagraph"/>
        <w:numPr>
          <w:ilvl w:val="0"/>
          <w:numId w:val="4"/>
        </w:numPr>
        <w:tabs>
          <w:tab w:pos="397" w:val="left" w:leader="none"/>
        </w:tabs>
        <w:spacing w:line="240" w:lineRule="auto" w:before="0" w:after="0"/>
        <w:ind w:left="396" w:right="163" w:hanging="284"/>
        <w:jc w:val="both"/>
        <w:rPr>
          <w:sz w:val="24"/>
        </w:rPr>
      </w:pPr>
      <w:r>
        <w:rPr>
          <w:sz w:val="24"/>
        </w:rPr>
        <w:t>Si precisa che le attività relative alla presentazione della candidatura sulla piattaforma non rientrano tra le attività retribuibili a valere sul progetto</w:t>
      </w:r>
      <w:r>
        <w:rPr>
          <w:spacing w:val="-6"/>
          <w:sz w:val="24"/>
        </w:rPr>
        <w:t> </w:t>
      </w:r>
      <w:r>
        <w:rPr>
          <w:sz w:val="24"/>
        </w:rPr>
        <w:t>stesso.</w:t>
      </w:r>
    </w:p>
    <w:p>
      <w:pPr>
        <w:pStyle w:val="ListParagraph"/>
        <w:numPr>
          <w:ilvl w:val="0"/>
          <w:numId w:val="4"/>
        </w:numPr>
        <w:tabs>
          <w:tab w:pos="397" w:val="left" w:leader="none"/>
        </w:tabs>
        <w:spacing w:line="240" w:lineRule="auto" w:before="0" w:after="0"/>
        <w:ind w:left="396" w:right="150" w:hanging="284"/>
        <w:jc w:val="both"/>
        <w:rPr>
          <w:sz w:val="24"/>
        </w:rPr>
      </w:pPr>
      <w:r>
        <w:rPr>
          <w:sz w:val="24"/>
        </w:rPr>
        <w:t>Le istituzioni scolastiche devono acquisire da parte del Consiglio di Istituto e del Collegio Docenti l’autorizzazione</w:t>
      </w:r>
      <w:r>
        <w:rPr>
          <w:spacing w:val="-5"/>
          <w:sz w:val="24"/>
        </w:rPr>
        <w:t> </w:t>
      </w:r>
      <w:r>
        <w:rPr>
          <w:sz w:val="24"/>
        </w:rPr>
        <w:t>alla</w:t>
      </w:r>
      <w:r>
        <w:rPr>
          <w:spacing w:val="-4"/>
          <w:sz w:val="24"/>
        </w:rPr>
        <w:t> </w:t>
      </w:r>
      <w:r>
        <w:rPr>
          <w:sz w:val="24"/>
        </w:rPr>
        <w:t>partecipazione</w:t>
      </w:r>
      <w:r>
        <w:rPr>
          <w:spacing w:val="-5"/>
          <w:sz w:val="24"/>
        </w:rPr>
        <w:t> </w:t>
      </w:r>
      <w:r>
        <w:rPr>
          <w:sz w:val="24"/>
        </w:rPr>
        <w:t>all’avviso</w:t>
      </w:r>
      <w:r>
        <w:rPr>
          <w:spacing w:val="-6"/>
          <w:sz w:val="24"/>
        </w:rPr>
        <w:t> </w:t>
      </w:r>
      <w:r>
        <w:rPr>
          <w:sz w:val="24"/>
        </w:rPr>
        <w:t>in</w:t>
      </w:r>
      <w:r>
        <w:rPr>
          <w:spacing w:val="-3"/>
          <w:sz w:val="24"/>
        </w:rPr>
        <w:t> </w:t>
      </w:r>
      <w:r>
        <w:rPr>
          <w:sz w:val="24"/>
        </w:rPr>
        <w:t>questione,</w:t>
      </w:r>
      <w:r>
        <w:rPr>
          <w:spacing w:val="-3"/>
          <w:sz w:val="24"/>
        </w:rPr>
        <w:t> </w:t>
      </w:r>
      <w:r>
        <w:rPr>
          <w:sz w:val="24"/>
        </w:rPr>
        <w:t>mediante</w:t>
      </w:r>
      <w:r>
        <w:rPr>
          <w:spacing w:val="-4"/>
          <w:sz w:val="24"/>
        </w:rPr>
        <w:t> </w:t>
      </w:r>
      <w:r>
        <w:rPr>
          <w:sz w:val="24"/>
        </w:rPr>
        <w:t>delibera</w:t>
      </w:r>
      <w:r>
        <w:rPr>
          <w:spacing w:val="-4"/>
          <w:sz w:val="24"/>
        </w:rPr>
        <w:t> </w:t>
      </w:r>
      <w:r>
        <w:rPr>
          <w:sz w:val="24"/>
        </w:rPr>
        <w:t>di</w:t>
      </w:r>
      <w:r>
        <w:rPr>
          <w:spacing w:val="-5"/>
          <w:sz w:val="24"/>
        </w:rPr>
        <w:t> </w:t>
      </w:r>
      <w:r>
        <w:rPr>
          <w:sz w:val="24"/>
        </w:rPr>
        <w:t>adesione</w:t>
      </w:r>
      <w:r>
        <w:rPr>
          <w:spacing w:val="-5"/>
          <w:sz w:val="24"/>
        </w:rPr>
        <w:t> </w:t>
      </w:r>
      <w:r>
        <w:rPr>
          <w:sz w:val="24"/>
        </w:rPr>
        <w:t>generale</w:t>
      </w:r>
      <w:r>
        <w:rPr>
          <w:spacing w:val="-5"/>
          <w:sz w:val="24"/>
        </w:rPr>
        <w:t> </w:t>
      </w:r>
      <w:r>
        <w:rPr>
          <w:sz w:val="24"/>
        </w:rPr>
        <w:t>alle Azioni del Programma operativo nazionale ovvero, in assenza di quest’ultima, una specifica determinazione per il presente avviso. Tenuto conto del particolare periodo emergenziale, tali deliberazioni possono essere acquisite anche in una fase</w:t>
      </w:r>
      <w:r>
        <w:rPr>
          <w:spacing w:val="-6"/>
          <w:sz w:val="24"/>
        </w:rPr>
        <w:t> </w:t>
      </w:r>
      <w:r>
        <w:rPr>
          <w:sz w:val="24"/>
        </w:rPr>
        <w:t>successiva.</w:t>
      </w:r>
    </w:p>
    <w:p>
      <w:pPr>
        <w:pStyle w:val="BodyText"/>
        <w:rPr>
          <w:sz w:val="22"/>
        </w:rPr>
      </w:pPr>
    </w:p>
    <w:p>
      <w:pPr>
        <w:pStyle w:val="Heading2"/>
        <w:spacing w:before="1"/>
      </w:pPr>
      <w:r>
        <w:rPr>
          <w:color w:val="006FC0"/>
        </w:rPr>
        <w:t>Art. 6 – Spese ammissibili ed erogazione dei finanziamenti</w:t>
      </w:r>
    </w:p>
    <w:p>
      <w:pPr>
        <w:pStyle w:val="Heading3"/>
        <w:numPr>
          <w:ilvl w:val="1"/>
          <w:numId w:val="5"/>
        </w:numPr>
        <w:tabs>
          <w:tab w:pos="479" w:val="left" w:leader="none"/>
        </w:tabs>
        <w:spacing w:line="240" w:lineRule="auto" w:before="20" w:after="0"/>
        <w:ind w:left="478" w:right="0" w:hanging="366"/>
        <w:jc w:val="left"/>
      </w:pPr>
      <w:r>
        <w:rPr>
          <w:color w:val="006FC0"/>
        </w:rPr>
        <w:t>– Articolazione dei costi del</w:t>
      </w:r>
      <w:r>
        <w:rPr>
          <w:color w:val="006FC0"/>
          <w:spacing w:val="2"/>
        </w:rPr>
        <w:t> </w:t>
      </w:r>
      <w:r>
        <w:rPr>
          <w:color w:val="006FC0"/>
        </w:rPr>
        <w:t>progetto</w:t>
      </w:r>
    </w:p>
    <w:p>
      <w:pPr>
        <w:pStyle w:val="ListParagraph"/>
        <w:numPr>
          <w:ilvl w:val="0"/>
          <w:numId w:val="6"/>
        </w:numPr>
        <w:tabs>
          <w:tab w:pos="397" w:val="left" w:leader="none"/>
        </w:tabs>
        <w:spacing w:line="240" w:lineRule="auto" w:before="1" w:after="0"/>
        <w:ind w:left="396" w:right="151" w:hanging="284"/>
        <w:jc w:val="both"/>
        <w:rPr>
          <w:sz w:val="24"/>
        </w:rPr>
      </w:pPr>
      <w:r>
        <w:rPr>
          <w:sz w:val="24"/>
        </w:rPr>
        <w:t>In</w:t>
      </w:r>
      <w:r>
        <w:rPr>
          <w:spacing w:val="-6"/>
          <w:sz w:val="24"/>
        </w:rPr>
        <w:t> </w:t>
      </w:r>
      <w:r>
        <w:rPr>
          <w:sz w:val="24"/>
        </w:rPr>
        <w:t>fase</w:t>
      </w:r>
      <w:r>
        <w:rPr>
          <w:spacing w:val="-4"/>
          <w:sz w:val="24"/>
        </w:rPr>
        <w:t> </w:t>
      </w:r>
      <w:r>
        <w:rPr>
          <w:sz w:val="24"/>
        </w:rPr>
        <w:t>di</w:t>
      </w:r>
      <w:r>
        <w:rPr>
          <w:spacing w:val="-5"/>
          <w:sz w:val="24"/>
        </w:rPr>
        <w:t> </w:t>
      </w:r>
      <w:r>
        <w:rPr>
          <w:sz w:val="24"/>
        </w:rPr>
        <w:t>candidatura</w:t>
      </w:r>
      <w:r>
        <w:rPr>
          <w:spacing w:val="-5"/>
          <w:sz w:val="24"/>
        </w:rPr>
        <w:t> </w:t>
      </w:r>
      <w:r>
        <w:rPr>
          <w:sz w:val="24"/>
        </w:rPr>
        <w:t>l’Istituzione</w:t>
      </w:r>
      <w:r>
        <w:rPr>
          <w:spacing w:val="-4"/>
          <w:sz w:val="24"/>
        </w:rPr>
        <w:t> </w:t>
      </w:r>
      <w:r>
        <w:rPr>
          <w:sz w:val="24"/>
        </w:rPr>
        <w:t>scolastica</w:t>
      </w:r>
      <w:r>
        <w:rPr>
          <w:spacing w:val="-3"/>
          <w:sz w:val="24"/>
        </w:rPr>
        <w:t> </w:t>
      </w:r>
      <w:r>
        <w:rPr>
          <w:sz w:val="24"/>
        </w:rPr>
        <w:t>convalida</w:t>
      </w:r>
      <w:r>
        <w:rPr>
          <w:spacing w:val="-4"/>
          <w:sz w:val="24"/>
        </w:rPr>
        <w:t> </w:t>
      </w:r>
      <w:r>
        <w:rPr>
          <w:sz w:val="24"/>
        </w:rPr>
        <w:t>un</w:t>
      </w:r>
      <w:r>
        <w:rPr>
          <w:spacing w:val="-5"/>
          <w:sz w:val="24"/>
        </w:rPr>
        <w:t> </w:t>
      </w:r>
      <w:r>
        <w:rPr>
          <w:sz w:val="24"/>
        </w:rPr>
        <w:t>quadro</w:t>
      </w:r>
      <w:r>
        <w:rPr>
          <w:spacing w:val="-7"/>
          <w:sz w:val="24"/>
        </w:rPr>
        <w:t> </w:t>
      </w:r>
      <w:r>
        <w:rPr>
          <w:sz w:val="24"/>
        </w:rPr>
        <w:t>economico</w:t>
      </w:r>
      <w:r>
        <w:rPr>
          <w:spacing w:val="-4"/>
          <w:sz w:val="24"/>
        </w:rPr>
        <w:t> </w:t>
      </w:r>
      <w:r>
        <w:rPr>
          <w:sz w:val="24"/>
        </w:rPr>
        <w:t>preliminare</w:t>
      </w:r>
      <w:r>
        <w:rPr>
          <w:spacing w:val="-2"/>
          <w:sz w:val="24"/>
        </w:rPr>
        <w:t> </w:t>
      </w:r>
      <w:r>
        <w:rPr>
          <w:sz w:val="24"/>
        </w:rPr>
        <w:t>che</w:t>
      </w:r>
      <w:r>
        <w:rPr>
          <w:spacing w:val="-5"/>
          <w:sz w:val="24"/>
        </w:rPr>
        <w:t> </w:t>
      </w:r>
      <w:r>
        <w:rPr>
          <w:sz w:val="24"/>
        </w:rPr>
        <w:t>rispetta la seguente percentuale di ripartizione dei</w:t>
      </w:r>
      <w:r>
        <w:rPr>
          <w:spacing w:val="-5"/>
          <w:sz w:val="24"/>
        </w:rPr>
        <w:t> </w:t>
      </w:r>
      <w:r>
        <w:rPr>
          <w:sz w:val="24"/>
        </w:rPr>
        <w:t>costi:</w:t>
      </w:r>
    </w:p>
    <w:p>
      <w:pPr>
        <w:pStyle w:val="BodyText"/>
        <w:spacing w:before="10" w:after="1"/>
        <w:rPr>
          <w:sz w:val="23"/>
        </w:rPr>
      </w:pPr>
    </w:p>
    <w:tbl>
      <w:tblPr>
        <w:tblW w:w="0" w:type="auto"/>
        <w:jc w:val="left"/>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84"/>
        <w:gridCol w:w="1928"/>
        <w:gridCol w:w="1931"/>
      </w:tblGrid>
      <w:tr>
        <w:trPr>
          <w:trHeight w:val="626" w:hRule="atLeast"/>
        </w:trPr>
        <w:tc>
          <w:tcPr>
            <w:tcW w:w="4484" w:type="dxa"/>
            <w:shd w:val="clear" w:color="auto" w:fill="365F91"/>
          </w:tcPr>
          <w:p>
            <w:pPr>
              <w:pStyle w:val="TableParagraph"/>
              <w:spacing w:before="6"/>
              <w:ind w:left="0"/>
              <w:rPr>
                <w:sz w:val="18"/>
              </w:rPr>
            </w:pPr>
          </w:p>
          <w:p>
            <w:pPr>
              <w:pStyle w:val="TableParagraph"/>
              <w:spacing w:before="1"/>
              <w:ind w:left="1723" w:right="1719"/>
              <w:jc w:val="center"/>
              <w:rPr>
                <w:b/>
                <w:sz w:val="18"/>
              </w:rPr>
            </w:pPr>
            <w:r>
              <w:rPr>
                <w:b/>
                <w:color w:val="FFFFFF"/>
                <w:sz w:val="18"/>
              </w:rPr>
              <w:t>Voci di costo</w:t>
            </w:r>
          </w:p>
        </w:tc>
        <w:tc>
          <w:tcPr>
            <w:tcW w:w="1928" w:type="dxa"/>
            <w:shd w:val="clear" w:color="auto" w:fill="365F91"/>
          </w:tcPr>
          <w:p>
            <w:pPr>
              <w:pStyle w:val="TableParagraph"/>
              <w:spacing w:line="201" w:lineRule="exact" w:before="0"/>
              <w:ind w:left="189" w:right="184"/>
              <w:jc w:val="center"/>
              <w:rPr>
                <w:b/>
                <w:sz w:val="18"/>
              </w:rPr>
            </w:pPr>
            <w:r>
              <w:rPr>
                <w:b/>
                <w:color w:val="FFFFFF"/>
                <w:sz w:val="18"/>
              </w:rPr>
              <w:t>Percentuali previste</w:t>
            </w:r>
          </w:p>
          <w:p>
            <w:pPr>
              <w:pStyle w:val="TableParagraph"/>
              <w:spacing w:before="1"/>
              <w:ind w:left="189" w:right="182"/>
              <w:jc w:val="center"/>
              <w:rPr>
                <w:b/>
                <w:sz w:val="18"/>
              </w:rPr>
            </w:pPr>
            <w:r>
              <w:rPr>
                <w:b/>
                <w:color w:val="FFFFFF"/>
                <w:sz w:val="18"/>
              </w:rPr>
              <w:t>per l’azione 1 –</w:t>
            </w:r>
          </w:p>
          <w:p>
            <w:pPr>
              <w:pStyle w:val="TableParagraph"/>
              <w:spacing w:line="185" w:lineRule="exact" w:before="16"/>
              <w:ind w:left="189" w:right="181"/>
              <w:jc w:val="center"/>
              <w:rPr>
                <w:b/>
                <w:sz w:val="18"/>
              </w:rPr>
            </w:pPr>
            <w:r>
              <w:rPr>
                <w:b/>
                <w:color w:val="FFFFFF"/>
                <w:sz w:val="18"/>
              </w:rPr>
              <w:t>“</w:t>
            </w:r>
            <w:r>
              <w:rPr>
                <w:b/>
                <w:i/>
                <w:color w:val="FFFFFF"/>
                <w:sz w:val="18"/>
              </w:rPr>
              <w:t>Edugreen</w:t>
            </w:r>
            <w:r>
              <w:rPr>
                <w:b/>
                <w:color w:val="FFFFFF"/>
                <w:sz w:val="18"/>
              </w:rPr>
              <w:t>”</w:t>
            </w:r>
          </w:p>
        </w:tc>
        <w:tc>
          <w:tcPr>
            <w:tcW w:w="1931" w:type="dxa"/>
            <w:shd w:val="clear" w:color="auto" w:fill="365F91"/>
          </w:tcPr>
          <w:p>
            <w:pPr>
              <w:pStyle w:val="TableParagraph"/>
              <w:spacing w:line="201" w:lineRule="exact" w:before="0"/>
              <w:ind w:left="189" w:right="187"/>
              <w:jc w:val="center"/>
              <w:rPr>
                <w:b/>
                <w:sz w:val="18"/>
              </w:rPr>
            </w:pPr>
            <w:r>
              <w:rPr>
                <w:b/>
                <w:color w:val="FFFFFF"/>
                <w:sz w:val="18"/>
              </w:rPr>
              <w:t>Percentuali previste</w:t>
            </w:r>
          </w:p>
          <w:p>
            <w:pPr>
              <w:pStyle w:val="TableParagraph"/>
              <w:spacing w:before="1"/>
              <w:ind w:left="188" w:right="187"/>
              <w:jc w:val="center"/>
              <w:rPr>
                <w:b/>
                <w:sz w:val="18"/>
              </w:rPr>
            </w:pPr>
            <w:r>
              <w:rPr>
                <w:b/>
                <w:color w:val="FFFFFF"/>
                <w:sz w:val="18"/>
              </w:rPr>
              <w:t>per l’azione 2 –</w:t>
            </w:r>
          </w:p>
          <w:p>
            <w:pPr>
              <w:pStyle w:val="TableParagraph"/>
              <w:spacing w:line="185" w:lineRule="exact" w:before="16"/>
              <w:ind w:left="189" w:right="183"/>
              <w:jc w:val="center"/>
              <w:rPr>
                <w:b/>
                <w:sz w:val="18"/>
              </w:rPr>
            </w:pPr>
            <w:r>
              <w:rPr>
                <w:b/>
                <w:color w:val="FFFFFF"/>
                <w:sz w:val="18"/>
              </w:rPr>
              <w:t>“Laboratori </w:t>
            </w:r>
            <w:r>
              <w:rPr>
                <w:b/>
                <w:i/>
                <w:color w:val="FFFFFF"/>
                <w:sz w:val="18"/>
              </w:rPr>
              <w:t>green</w:t>
            </w:r>
            <w:r>
              <w:rPr>
                <w:b/>
                <w:color w:val="FFFFFF"/>
                <w:sz w:val="18"/>
              </w:rPr>
              <w:t>”</w:t>
            </w:r>
          </w:p>
        </w:tc>
      </w:tr>
      <w:tr>
        <w:trPr>
          <w:trHeight w:val="395" w:hRule="atLeast"/>
        </w:trPr>
        <w:tc>
          <w:tcPr>
            <w:tcW w:w="4484" w:type="dxa"/>
            <w:shd w:val="clear" w:color="auto" w:fill="D9D9D9"/>
          </w:tcPr>
          <w:p>
            <w:pPr>
              <w:pStyle w:val="TableParagraph"/>
              <w:spacing w:before="94"/>
              <w:rPr>
                <w:b/>
                <w:sz w:val="18"/>
              </w:rPr>
            </w:pPr>
            <w:r>
              <w:rPr>
                <w:b/>
                <w:sz w:val="18"/>
              </w:rPr>
              <w:t>A. Progettazione</w:t>
            </w:r>
          </w:p>
        </w:tc>
        <w:tc>
          <w:tcPr>
            <w:tcW w:w="1928" w:type="dxa"/>
            <w:shd w:val="clear" w:color="auto" w:fill="C5D9F0"/>
          </w:tcPr>
          <w:p>
            <w:pPr>
              <w:pStyle w:val="TableParagraph"/>
              <w:spacing w:before="94"/>
              <w:ind w:left="674"/>
              <w:rPr>
                <w:sz w:val="18"/>
              </w:rPr>
            </w:pPr>
            <w:r>
              <w:rPr>
                <w:sz w:val="18"/>
              </w:rPr>
              <w:t>5% (max)</w:t>
            </w:r>
          </w:p>
        </w:tc>
        <w:tc>
          <w:tcPr>
            <w:tcW w:w="1931" w:type="dxa"/>
            <w:shd w:val="clear" w:color="auto" w:fill="C5D9F0"/>
          </w:tcPr>
          <w:p>
            <w:pPr>
              <w:pStyle w:val="TableParagraph"/>
              <w:spacing w:before="94"/>
              <w:ind w:left="673"/>
              <w:rPr>
                <w:sz w:val="18"/>
              </w:rPr>
            </w:pPr>
            <w:r>
              <w:rPr>
                <w:sz w:val="18"/>
              </w:rPr>
              <w:t>2% (max)</w:t>
            </w:r>
          </w:p>
        </w:tc>
      </w:tr>
      <w:tr>
        <w:trPr>
          <w:trHeight w:val="397" w:hRule="atLeast"/>
        </w:trPr>
        <w:tc>
          <w:tcPr>
            <w:tcW w:w="4484" w:type="dxa"/>
            <w:shd w:val="clear" w:color="auto" w:fill="D9D9D9"/>
          </w:tcPr>
          <w:p>
            <w:pPr>
              <w:pStyle w:val="TableParagraph"/>
              <w:rPr>
                <w:b/>
                <w:sz w:val="18"/>
              </w:rPr>
            </w:pPr>
            <w:r>
              <w:rPr>
                <w:b/>
                <w:sz w:val="18"/>
              </w:rPr>
              <w:t>B. Spese organizzative e gestionali</w:t>
            </w:r>
          </w:p>
        </w:tc>
        <w:tc>
          <w:tcPr>
            <w:tcW w:w="1928" w:type="dxa"/>
            <w:shd w:val="clear" w:color="auto" w:fill="C5D9F0"/>
          </w:tcPr>
          <w:p>
            <w:pPr>
              <w:pStyle w:val="TableParagraph"/>
              <w:ind w:left="674"/>
              <w:rPr>
                <w:sz w:val="18"/>
              </w:rPr>
            </w:pPr>
            <w:r>
              <w:rPr>
                <w:sz w:val="18"/>
              </w:rPr>
              <w:t>3% (max)</w:t>
            </w:r>
          </w:p>
        </w:tc>
        <w:tc>
          <w:tcPr>
            <w:tcW w:w="1931" w:type="dxa"/>
            <w:shd w:val="clear" w:color="auto" w:fill="C5D9F0"/>
          </w:tcPr>
          <w:p>
            <w:pPr>
              <w:pStyle w:val="TableParagraph"/>
              <w:ind w:left="673"/>
              <w:rPr>
                <w:sz w:val="18"/>
              </w:rPr>
            </w:pPr>
            <w:r>
              <w:rPr>
                <w:sz w:val="18"/>
              </w:rPr>
              <w:t>2% (max)</w:t>
            </w:r>
          </w:p>
        </w:tc>
      </w:tr>
      <w:tr>
        <w:trPr>
          <w:trHeight w:val="395" w:hRule="atLeast"/>
        </w:trPr>
        <w:tc>
          <w:tcPr>
            <w:tcW w:w="4484" w:type="dxa"/>
            <w:shd w:val="clear" w:color="auto" w:fill="D9D9D9"/>
          </w:tcPr>
          <w:p>
            <w:pPr>
              <w:pStyle w:val="TableParagraph"/>
              <w:rPr>
                <w:b/>
                <w:sz w:val="18"/>
              </w:rPr>
            </w:pPr>
            <w:r>
              <w:rPr>
                <w:b/>
                <w:sz w:val="18"/>
              </w:rPr>
              <w:t>C. Forniture di beni e attrezzature</w:t>
            </w:r>
          </w:p>
        </w:tc>
        <w:tc>
          <w:tcPr>
            <w:tcW w:w="1928" w:type="dxa"/>
            <w:shd w:val="clear" w:color="auto" w:fill="C5D9F0"/>
          </w:tcPr>
          <w:p>
            <w:pPr>
              <w:pStyle w:val="TableParagraph"/>
              <w:ind w:left="674"/>
              <w:rPr>
                <w:sz w:val="18"/>
              </w:rPr>
            </w:pPr>
            <w:r>
              <w:rPr>
                <w:sz w:val="18"/>
              </w:rPr>
              <w:t>almeno 70%</w:t>
            </w:r>
          </w:p>
        </w:tc>
        <w:tc>
          <w:tcPr>
            <w:tcW w:w="1931" w:type="dxa"/>
            <w:shd w:val="clear" w:color="auto" w:fill="C5D9F0"/>
          </w:tcPr>
          <w:p>
            <w:pPr>
              <w:pStyle w:val="TableParagraph"/>
              <w:ind w:left="673"/>
              <w:rPr>
                <w:sz w:val="18"/>
              </w:rPr>
            </w:pPr>
            <w:r>
              <w:rPr>
                <w:sz w:val="18"/>
              </w:rPr>
              <w:t>almeno 88%</w:t>
            </w:r>
          </w:p>
        </w:tc>
      </w:tr>
      <w:tr>
        <w:trPr>
          <w:trHeight w:val="398" w:hRule="atLeast"/>
        </w:trPr>
        <w:tc>
          <w:tcPr>
            <w:tcW w:w="4484" w:type="dxa"/>
            <w:shd w:val="clear" w:color="auto" w:fill="D9D9D9"/>
          </w:tcPr>
          <w:p>
            <w:pPr>
              <w:pStyle w:val="TableParagraph"/>
              <w:rPr>
                <w:b/>
                <w:sz w:val="18"/>
              </w:rPr>
            </w:pPr>
            <w:r>
              <w:rPr>
                <w:b/>
                <w:sz w:val="18"/>
              </w:rPr>
              <w:t>D. Piccoli lavori di sistemazione edilizia/terreno</w:t>
            </w:r>
          </w:p>
        </w:tc>
        <w:tc>
          <w:tcPr>
            <w:tcW w:w="1928" w:type="dxa"/>
            <w:shd w:val="clear" w:color="auto" w:fill="C5D9F0"/>
          </w:tcPr>
          <w:p>
            <w:pPr>
              <w:pStyle w:val="TableParagraph"/>
              <w:ind w:left="674"/>
              <w:rPr>
                <w:sz w:val="18"/>
              </w:rPr>
            </w:pPr>
            <w:r>
              <w:rPr>
                <w:sz w:val="18"/>
              </w:rPr>
              <w:t>18% (max)</w:t>
            </w:r>
          </w:p>
        </w:tc>
        <w:tc>
          <w:tcPr>
            <w:tcW w:w="1931" w:type="dxa"/>
            <w:shd w:val="clear" w:color="auto" w:fill="C5D9F0"/>
          </w:tcPr>
          <w:p>
            <w:pPr>
              <w:pStyle w:val="TableParagraph"/>
              <w:ind w:left="673"/>
              <w:rPr>
                <w:sz w:val="18"/>
              </w:rPr>
            </w:pPr>
            <w:r>
              <w:rPr>
                <w:sz w:val="18"/>
              </w:rPr>
              <w:t>5% (max)</w:t>
            </w:r>
          </w:p>
        </w:tc>
      </w:tr>
      <w:tr>
        <w:trPr>
          <w:trHeight w:val="398" w:hRule="atLeast"/>
        </w:trPr>
        <w:tc>
          <w:tcPr>
            <w:tcW w:w="4484" w:type="dxa"/>
            <w:shd w:val="clear" w:color="auto" w:fill="D9D9D9"/>
          </w:tcPr>
          <w:p>
            <w:pPr>
              <w:pStyle w:val="TableParagraph"/>
              <w:spacing w:before="97"/>
              <w:rPr>
                <w:b/>
                <w:sz w:val="18"/>
              </w:rPr>
            </w:pPr>
            <w:r>
              <w:rPr>
                <w:b/>
                <w:sz w:val="18"/>
              </w:rPr>
              <w:t>E. Pubblicità</w:t>
            </w:r>
          </w:p>
        </w:tc>
        <w:tc>
          <w:tcPr>
            <w:tcW w:w="1928" w:type="dxa"/>
            <w:shd w:val="clear" w:color="auto" w:fill="C5D9F0"/>
          </w:tcPr>
          <w:p>
            <w:pPr>
              <w:pStyle w:val="TableParagraph"/>
              <w:spacing w:before="97"/>
              <w:ind w:left="674"/>
              <w:rPr>
                <w:sz w:val="18"/>
              </w:rPr>
            </w:pPr>
            <w:r>
              <w:rPr>
                <w:sz w:val="18"/>
              </w:rPr>
              <w:t>0,5% (max)</w:t>
            </w:r>
          </w:p>
        </w:tc>
        <w:tc>
          <w:tcPr>
            <w:tcW w:w="1931" w:type="dxa"/>
            <w:shd w:val="clear" w:color="auto" w:fill="C5D9F0"/>
          </w:tcPr>
          <w:p>
            <w:pPr>
              <w:pStyle w:val="TableParagraph"/>
              <w:spacing w:before="97"/>
              <w:ind w:left="673"/>
              <w:rPr>
                <w:sz w:val="18"/>
              </w:rPr>
            </w:pPr>
            <w:r>
              <w:rPr>
                <w:sz w:val="18"/>
              </w:rPr>
              <w:t>0,5% (max)</w:t>
            </w:r>
          </w:p>
        </w:tc>
      </w:tr>
      <w:tr>
        <w:trPr>
          <w:trHeight w:val="395" w:hRule="atLeast"/>
        </w:trPr>
        <w:tc>
          <w:tcPr>
            <w:tcW w:w="4484" w:type="dxa"/>
            <w:shd w:val="clear" w:color="auto" w:fill="D9D9D9"/>
          </w:tcPr>
          <w:p>
            <w:pPr>
              <w:pStyle w:val="TableParagraph"/>
              <w:spacing w:before="94"/>
              <w:rPr>
                <w:b/>
                <w:sz w:val="18"/>
              </w:rPr>
            </w:pPr>
            <w:r>
              <w:rPr>
                <w:b/>
                <w:sz w:val="18"/>
              </w:rPr>
              <w:t>F. Collaudo/regolare esecuzione</w:t>
            </w:r>
          </w:p>
        </w:tc>
        <w:tc>
          <w:tcPr>
            <w:tcW w:w="1928" w:type="dxa"/>
            <w:shd w:val="clear" w:color="auto" w:fill="C5D9F0"/>
          </w:tcPr>
          <w:p>
            <w:pPr>
              <w:pStyle w:val="TableParagraph"/>
              <w:spacing w:before="94"/>
              <w:ind w:left="674"/>
              <w:rPr>
                <w:sz w:val="18"/>
              </w:rPr>
            </w:pPr>
            <w:r>
              <w:rPr>
                <w:sz w:val="18"/>
              </w:rPr>
              <w:t>1,5% (max)</w:t>
            </w:r>
          </w:p>
        </w:tc>
        <w:tc>
          <w:tcPr>
            <w:tcW w:w="1931" w:type="dxa"/>
            <w:shd w:val="clear" w:color="auto" w:fill="C5D9F0"/>
          </w:tcPr>
          <w:p>
            <w:pPr>
              <w:pStyle w:val="TableParagraph"/>
              <w:spacing w:before="94"/>
              <w:ind w:left="673"/>
              <w:rPr>
                <w:sz w:val="18"/>
              </w:rPr>
            </w:pPr>
            <w:r>
              <w:rPr>
                <w:sz w:val="18"/>
              </w:rPr>
              <w:t>1,5% (max)</w:t>
            </w:r>
          </w:p>
        </w:tc>
      </w:tr>
      <w:tr>
        <w:trPr>
          <w:trHeight w:val="398" w:hRule="atLeast"/>
        </w:trPr>
        <w:tc>
          <w:tcPr>
            <w:tcW w:w="4484" w:type="dxa"/>
            <w:shd w:val="clear" w:color="auto" w:fill="D9D9D9"/>
          </w:tcPr>
          <w:p>
            <w:pPr>
              <w:pStyle w:val="TableParagraph"/>
              <w:rPr>
                <w:b/>
                <w:sz w:val="18"/>
              </w:rPr>
            </w:pPr>
            <w:r>
              <w:rPr>
                <w:b/>
                <w:sz w:val="18"/>
              </w:rPr>
              <w:t>G. Addestramento all’uso delle attrezzature</w:t>
            </w:r>
          </w:p>
        </w:tc>
        <w:tc>
          <w:tcPr>
            <w:tcW w:w="1928" w:type="dxa"/>
            <w:shd w:val="clear" w:color="auto" w:fill="C5D9F0"/>
          </w:tcPr>
          <w:p>
            <w:pPr>
              <w:pStyle w:val="TableParagraph"/>
              <w:ind w:left="674"/>
              <w:rPr>
                <w:sz w:val="18"/>
              </w:rPr>
            </w:pPr>
            <w:r>
              <w:rPr>
                <w:sz w:val="18"/>
              </w:rPr>
              <w:t>2% (max)</w:t>
            </w:r>
          </w:p>
        </w:tc>
        <w:tc>
          <w:tcPr>
            <w:tcW w:w="1931" w:type="dxa"/>
            <w:shd w:val="clear" w:color="auto" w:fill="C5D9F0"/>
          </w:tcPr>
          <w:p>
            <w:pPr>
              <w:pStyle w:val="TableParagraph"/>
              <w:ind w:left="673"/>
              <w:rPr>
                <w:sz w:val="18"/>
              </w:rPr>
            </w:pPr>
            <w:r>
              <w:rPr>
                <w:sz w:val="18"/>
              </w:rPr>
              <w:t>1% (max)</w:t>
            </w:r>
          </w:p>
        </w:tc>
      </w:tr>
    </w:tbl>
    <w:p>
      <w:pPr>
        <w:pStyle w:val="BodyText"/>
        <w:spacing w:before="1"/>
        <w:rPr>
          <w:sz w:val="22"/>
        </w:rPr>
      </w:pPr>
    </w:p>
    <w:p>
      <w:pPr>
        <w:pStyle w:val="ListParagraph"/>
        <w:numPr>
          <w:ilvl w:val="0"/>
          <w:numId w:val="6"/>
        </w:numPr>
        <w:tabs>
          <w:tab w:pos="397" w:val="left" w:leader="none"/>
        </w:tabs>
        <w:spacing w:line="240" w:lineRule="auto" w:before="0" w:after="0"/>
        <w:ind w:left="396" w:right="152" w:hanging="284"/>
        <w:jc w:val="both"/>
        <w:rPr>
          <w:sz w:val="24"/>
        </w:rPr>
      </w:pPr>
      <w:r>
        <w:rPr>
          <w:sz w:val="24"/>
        </w:rPr>
        <w:t>All’atto della candidatura il sistema definisce automaticamente il riparto del totale del finanziamento attribuibile a ciascuna istituzione scolastica sulla base delle percentuali previste al comma 1. Dopo l’autorizzazione del progetto e in fase esecutiva, sarà possibile modificare l’importo di tutte le voci di costo, fermi restando i limiti percentuali di spesa previsti. In nessun caso può essere diminuita la percentuale relativa alla voce di costo</w:t>
      </w:r>
      <w:r>
        <w:rPr>
          <w:spacing w:val="-1"/>
          <w:sz w:val="24"/>
        </w:rPr>
        <w:t> </w:t>
      </w:r>
      <w:r>
        <w:rPr>
          <w:sz w:val="24"/>
        </w:rPr>
        <w:t>C.</w:t>
      </w:r>
    </w:p>
    <w:p>
      <w:pPr>
        <w:pStyle w:val="ListParagraph"/>
        <w:numPr>
          <w:ilvl w:val="0"/>
          <w:numId w:val="6"/>
        </w:numPr>
        <w:tabs>
          <w:tab w:pos="397" w:val="left" w:leader="none"/>
        </w:tabs>
        <w:spacing w:line="240" w:lineRule="auto" w:before="0" w:after="0"/>
        <w:ind w:left="396" w:right="151" w:hanging="284"/>
        <w:jc w:val="both"/>
        <w:rPr>
          <w:sz w:val="24"/>
        </w:rPr>
      </w:pPr>
      <w:r>
        <w:rPr>
          <w:sz w:val="24"/>
        </w:rPr>
        <w:t>L’attività alla pubblicizzazione </w:t>
      </w:r>
      <w:r>
        <w:rPr>
          <w:i/>
          <w:sz w:val="24"/>
        </w:rPr>
        <w:t>ex post </w:t>
      </w:r>
      <w:r>
        <w:rPr>
          <w:sz w:val="24"/>
        </w:rPr>
        <w:t>(</w:t>
      </w:r>
      <w:r>
        <w:rPr>
          <w:i/>
          <w:sz w:val="24"/>
        </w:rPr>
        <w:t>cfr. </w:t>
      </w:r>
      <w:r>
        <w:rPr>
          <w:sz w:val="24"/>
        </w:rPr>
        <w:t>par. 6.2, lettera E) riconducibile alla voce di costo “Pubblicità” è obbligatoria; di conseguenza la scuola che intenda azzerare l’importo ad essa</w:t>
      </w:r>
      <w:r>
        <w:rPr>
          <w:spacing w:val="-39"/>
          <w:sz w:val="24"/>
        </w:rPr>
        <w:t> </w:t>
      </w:r>
      <w:r>
        <w:rPr>
          <w:sz w:val="24"/>
        </w:rPr>
        <w:t>associata, dovrà comunque garantire adeguate forme di</w:t>
      </w:r>
      <w:r>
        <w:rPr>
          <w:spacing w:val="-4"/>
          <w:sz w:val="24"/>
        </w:rPr>
        <w:t> </w:t>
      </w:r>
      <w:r>
        <w:rPr>
          <w:sz w:val="24"/>
        </w:rPr>
        <w:t>pubblicità.</w:t>
      </w:r>
    </w:p>
    <w:p>
      <w:pPr>
        <w:pStyle w:val="BodyText"/>
        <w:spacing w:before="10"/>
        <w:rPr>
          <w:sz w:val="25"/>
        </w:rPr>
      </w:pPr>
    </w:p>
    <w:p>
      <w:pPr>
        <w:pStyle w:val="Heading3"/>
        <w:numPr>
          <w:ilvl w:val="1"/>
          <w:numId w:val="5"/>
        </w:numPr>
        <w:tabs>
          <w:tab w:pos="479" w:val="left" w:leader="none"/>
        </w:tabs>
        <w:spacing w:line="240" w:lineRule="auto" w:before="0" w:after="0"/>
        <w:ind w:left="478" w:right="0" w:hanging="366"/>
        <w:jc w:val="left"/>
      </w:pPr>
      <w:r>
        <w:rPr>
          <w:color w:val="006FC0"/>
        </w:rPr>
        <w:t>– Tipologie di spese ammissibili per voci di</w:t>
      </w:r>
      <w:r>
        <w:rPr>
          <w:color w:val="006FC0"/>
          <w:spacing w:val="-2"/>
        </w:rPr>
        <w:t> </w:t>
      </w:r>
      <w:r>
        <w:rPr>
          <w:color w:val="006FC0"/>
        </w:rPr>
        <w:t>costo</w:t>
      </w:r>
    </w:p>
    <w:p>
      <w:pPr>
        <w:pStyle w:val="ListParagraph"/>
        <w:numPr>
          <w:ilvl w:val="0"/>
          <w:numId w:val="7"/>
        </w:numPr>
        <w:tabs>
          <w:tab w:pos="394" w:val="left" w:leader="none"/>
        </w:tabs>
        <w:spacing w:line="240" w:lineRule="auto" w:before="1" w:after="0"/>
        <w:ind w:left="393" w:right="0" w:hanging="281"/>
        <w:jc w:val="left"/>
        <w:rPr>
          <w:b/>
          <w:sz w:val="24"/>
        </w:rPr>
      </w:pPr>
      <w:r>
        <w:rPr>
          <w:b/>
          <w:sz w:val="24"/>
        </w:rPr>
        <w:t>Progettazione</w:t>
      </w:r>
    </w:p>
    <w:p>
      <w:pPr>
        <w:pStyle w:val="BodyText"/>
        <w:spacing w:before="2"/>
        <w:ind w:left="112" w:right="148"/>
        <w:jc w:val="both"/>
      </w:pPr>
      <w:r>
        <w:rPr/>
        <w:t>La progettazione consiste nell’insieme delle attività propedeutiche all’emanazione dell’avviso pubblico/richiesta di offerta/trattativa diretta/ordine di acquisto e del relativo disciplinare e capitolato tecnico per l’acquisto dei beni e dei servizi è assicurata da personale interno o esterno all’istituzione scolastica in possesso di adeguata professionalità per la realizzazione della relativa azione ammessa a finanziamento.</w:t>
      </w:r>
    </w:p>
    <w:p>
      <w:pPr>
        <w:pStyle w:val="BodyText"/>
        <w:spacing w:before="10"/>
        <w:rPr>
          <w:sz w:val="23"/>
        </w:rPr>
      </w:pPr>
    </w:p>
    <w:p>
      <w:pPr>
        <w:pStyle w:val="Heading2"/>
        <w:numPr>
          <w:ilvl w:val="0"/>
          <w:numId w:val="7"/>
        </w:numPr>
        <w:tabs>
          <w:tab w:pos="399" w:val="left" w:leader="none"/>
        </w:tabs>
        <w:spacing w:line="269" w:lineRule="exact" w:before="1" w:after="0"/>
        <w:ind w:left="398" w:right="0" w:hanging="286"/>
        <w:jc w:val="left"/>
      </w:pPr>
      <w:r>
        <w:rPr/>
        <w:t>Spese organizzative e</w:t>
      </w:r>
      <w:r>
        <w:rPr>
          <w:spacing w:val="-2"/>
        </w:rPr>
        <w:t> </w:t>
      </w:r>
      <w:r>
        <w:rPr/>
        <w:t>gestionali</w:t>
      </w:r>
    </w:p>
    <w:p>
      <w:pPr>
        <w:pStyle w:val="BodyText"/>
        <w:spacing w:line="269" w:lineRule="exact"/>
        <w:ind w:left="112"/>
      </w:pPr>
      <w:r>
        <w:rPr/>
        <w:t>Si tratta di spese funzionali alla gestione e attuazione del progetto e includono:</w:t>
      </w:r>
    </w:p>
    <w:p>
      <w:pPr>
        <w:spacing w:after="0" w:line="269" w:lineRule="exact"/>
        <w:sectPr>
          <w:pgSz w:w="11910" w:h="16840"/>
          <w:pgMar w:header="653" w:footer="514" w:top="1480" w:bottom="720" w:left="1020" w:right="980"/>
        </w:sectPr>
      </w:pPr>
    </w:p>
    <w:p>
      <w:pPr>
        <w:pStyle w:val="BodyText"/>
        <w:rPr>
          <w:sz w:val="20"/>
        </w:rPr>
      </w:pPr>
    </w:p>
    <w:p>
      <w:pPr>
        <w:pStyle w:val="BodyText"/>
        <w:spacing w:before="3"/>
        <w:rPr>
          <w:sz w:val="29"/>
        </w:rPr>
      </w:pPr>
    </w:p>
    <w:p>
      <w:pPr>
        <w:pStyle w:val="ListParagraph"/>
        <w:numPr>
          <w:ilvl w:val="1"/>
          <w:numId w:val="7"/>
        </w:numPr>
        <w:tabs>
          <w:tab w:pos="927" w:val="left" w:leader="none"/>
        </w:tabs>
        <w:spacing w:line="240" w:lineRule="auto" w:before="100" w:after="0"/>
        <w:ind w:left="926" w:right="156" w:hanging="453"/>
        <w:jc w:val="both"/>
        <w:rPr>
          <w:sz w:val="24"/>
        </w:rPr>
      </w:pPr>
      <w:r>
        <w:rPr>
          <w:sz w:val="24"/>
        </w:rPr>
        <w:t>compensi per il personale scolastico e per i soggetti coinvolti a vario titolo nell’attuazione dei progetti (es. gestione del sistema informativo, attività connesse alla stesura degli atti di gara, adempimenti operativi, relazioni con l’Ufficio dell’Autorità di</w:t>
      </w:r>
      <w:r>
        <w:rPr>
          <w:spacing w:val="-7"/>
          <w:sz w:val="24"/>
        </w:rPr>
        <w:t> </w:t>
      </w:r>
      <w:r>
        <w:rPr>
          <w:sz w:val="24"/>
        </w:rPr>
        <w:t>Gestione);</w:t>
      </w:r>
    </w:p>
    <w:p>
      <w:pPr>
        <w:pStyle w:val="ListParagraph"/>
        <w:numPr>
          <w:ilvl w:val="1"/>
          <w:numId w:val="7"/>
        </w:numPr>
        <w:tabs>
          <w:tab w:pos="926" w:val="left" w:leader="none"/>
          <w:tab w:pos="927" w:val="left" w:leader="none"/>
        </w:tabs>
        <w:spacing w:line="269" w:lineRule="exact" w:before="0" w:after="0"/>
        <w:ind w:left="926" w:right="0" w:hanging="453"/>
        <w:jc w:val="left"/>
        <w:rPr>
          <w:sz w:val="24"/>
        </w:rPr>
      </w:pPr>
      <w:r>
        <w:rPr>
          <w:sz w:val="24"/>
        </w:rPr>
        <w:t>spese per la copertura assicurativa dei beni</w:t>
      </w:r>
      <w:r>
        <w:rPr>
          <w:spacing w:val="-4"/>
          <w:sz w:val="24"/>
        </w:rPr>
        <w:t> </w:t>
      </w:r>
      <w:r>
        <w:rPr>
          <w:sz w:val="24"/>
        </w:rPr>
        <w:t>acquistati;</w:t>
      </w:r>
    </w:p>
    <w:p>
      <w:pPr>
        <w:pStyle w:val="ListParagraph"/>
        <w:numPr>
          <w:ilvl w:val="1"/>
          <w:numId w:val="7"/>
        </w:numPr>
        <w:tabs>
          <w:tab w:pos="926" w:val="left" w:leader="none"/>
          <w:tab w:pos="927" w:val="left" w:leader="none"/>
        </w:tabs>
        <w:spacing w:line="240" w:lineRule="auto" w:before="1" w:after="0"/>
        <w:ind w:left="926" w:right="0" w:hanging="453"/>
        <w:jc w:val="left"/>
        <w:rPr>
          <w:sz w:val="24"/>
        </w:rPr>
      </w:pPr>
      <w:r>
        <w:rPr>
          <w:sz w:val="24"/>
        </w:rPr>
        <w:t>spese per le spedizioni</w:t>
      </w:r>
      <w:r>
        <w:rPr>
          <w:spacing w:val="-7"/>
          <w:sz w:val="24"/>
        </w:rPr>
        <w:t> </w:t>
      </w:r>
      <w:r>
        <w:rPr>
          <w:sz w:val="24"/>
        </w:rPr>
        <w:t>postali.</w:t>
      </w:r>
    </w:p>
    <w:p>
      <w:pPr>
        <w:pStyle w:val="BodyText"/>
      </w:pPr>
    </w:p>
    <w:p>
      <w:pPr>
        <w:pStyle w:val="Heading2"/>
        <w:numPr>
          <w:ilvl w:val="0"/>
          <w:numId w:val="7"/>
        </w:numPr>
        <w:tabs>
          <w:tab w:pos="399" w:val="left" w:leader="none"/>
        </w:tabs>
        <w:spacing w:line="269" w:lineRule="exact" w:before="0" w:after="0"/>
        <w:ind w:left="398" w:right="0" w:hanging="286"/>
        <w:jc w:val="both"/>
      </w:pPr>
      <w:r>
        <w:rPr/>
        <w:t>Forniture e installazioni</w:t>
      </w:r>
    </w:p>
    <w:p>
      <w:pPr>
        <w:pStyle w:val="BodyText"/>
        <w:spacing w:line="269" w:lineRule="exact"/>
        <w:ind w:left="112"/>
        <w:jc w:val="both"/>
      </w:pPr>
      <w:r>
        <w:rPr/>
        <w:t>Oggetto del presente avviso è la fornitura di beni per la realizzazione di laboratori di cui ai commi 1 e</w:t>
      </w:r>
      <w:r>
        <w:rPr>
          <w:spacing w:val="52"/>
        </w:rPr>
        <w:t> </w:t>
      </w:r>
      <w:r>
        <w:rPr/>
        <w:t>2</w:t>
      </w:r>
    </w:p>
    <w:p>
      <w:pPr>
        <w:pStyle w:val="BodyText"/>
        <w:spacing w:before="2"/>
        <w:ind w:left="112"/>
        <w:jc w:val="both"/>
      </w:pPr>
      <w:r>
        <w:rPr/>
        <w:t>dell’articolo 3 del presente avviso.</w:t>
      </w:r>
    </w:p>
    <w:p>
      <w:pPr>
        <w:pStyle w:val="BodyText"/>
        <w:spacing w:before="11"/>
        <w:rPr>
          <w:sz w:val="23"/>
        </w:rPr>
      </w:pPr>
    </w:p>
    <w:p>
      <w:pPr>
        <w:pStyle w:val="Heading2"/>
        <w:numPr>
          <w:ilvl w:val="0"/>
          <w:numId w:val="7"/>
        </w:numPr>
        <w:tabs>
          <w:tab w:pos="423" w:val="left" w:leader="none"/>
        </w:tabs>
        <w:spacing w:line="269" w:lineRule="exact" w:before="0" w:after="0"/>
        <w:ind w:left="422" w:right="0" w:hanging="310"/>
        <w:jc w:val="both"/>
      </w:pPr>
      <w:r>
        <w:rPr/>
        <w:t>Piccoli lavori di adattamento edilizio e/o preparazione del</w:t>
      </w:r>
      <w:r>
        <w:rPr>
          <w:spacing w:val="-5"/>
        </w:rPr>
        <w:t> </w:t>
      </w:r>
      <w:r>
        <w:rPr/>
        <w:t>terreno</w:t>
      </w:r>
    </w:p>
    <w:p>
      <w:pPr>
        <w:pStyle w:val="BodyText"/>
        <w:ind w:left="112" w:right="155"/>
        <w:jc w:val="both"/>
      </w:pPr>
      <w:r>
        <w:rPr/>
        <w:t>È</w:t>
      </w:r>
      <w:r>
        <w:rPr>
          <w:spacing w:val="-14"/>
        </w:rPr>
        <w:t> </w:t>
      </w:r>
      <w:r>
        <w:rPr/>
        <w:t>prevista</w:t>
      </w:r>
      <w:r>
        <w:rPr>
          <w:spacing w:val="-14"/>
        </w:rPr>
        <w:t> </w:t>
      </w:r>
      <w:r>
        <w:rPr/>
        <w:t>la</w:t>
      </w:r>
      <w:r>
        <w:rPr>
          <w:spacing w:val="-14"/>
        </w:rPr>
        <w:t> </w:t>
      </w:r>
      <w:r>
        <w:rPr/>
        <w:t>possibilità</w:t>
      </w:r>
      <w:r>
        <w:rPr>
          <w:spacing w:val="-15"/>
        </w:rPr>
        <w:t> </w:t>
      </w:r>
      <w:r>
        <w:rPr/>
        <w:t>di</w:t>
      </w:r>
      <w:r>
        <w:rPr>
          <w:spacing w:val="-19"/>
        </w:rPr>
        <w:t> </w:t>
      </w:r>
      <w:r>
        <w:rPr/>
        <w:t>effettuare</w:t>
      </w:r>
      <w:r>
        <w:rPr>
          <w:spacing w:val="-15"/>
        </w:rPr>
        <w:t> </w:t>
      </w:r>
      <w:r>
        <w:rPr/>
        <w:t>piccoli</w:t>
      </w:r>
      <w:r>
        <w:rPr>
          <w:spacing w:val="-14"/>
        </w:rPr>
        <w:t> </w:t>
      </w:r>
      <w:r>
        <w:rPr/>
        <w:t>lavori</w:t>
      </w:r>
      <w:r>
        <w:rPr>
          <w:spacing w:val="-15"/>
        </w:rPr>
        <w:t> </w:t>
      </w:r>
      <w:r>
        <w:rPr/>
        <w:t>di</w:t>
      </w:r>
      <w:r>
        <w:rPr>
          <w:spacing w:val="-18"/>
        </w:rPr>
        <w:t> </w:t>
      </w:r>
      <w:r>
        <w:rPr/>
        <w:t>adattamento</w:t>
      </w:r>
      <w:r>
        <w:rPr>
          <w:spacing w:val="-17"/>
        </w:rPr>
        <w:t> </w:t>
      </w:r>
      <w:r>
        <w:rPr/>
        <w:t>edilizio</w:t>
      </w:r>
      <w:r>
        <w:rPr>
          <w:spacing w:val="-17"/>
        </w:rPr>
        <w:t> </w:t>
      </w:r>
      <w:r>
        <w:rPr/>
        <w:t>e</w:t>
      </w:r>
      <w:r>
        <w:rPr>
          <w:spacing w:val="-16"/>
        </w:rPr>
        <w:t> </w:t>
      </w:r>
      <w:r>
        <w:rPr/>
        <w:t>impiantistico</w:t>
      </w:r>
      <w:r>
        <w:rPr>
          <w:spacing w:val="-16"/>
        </w:rPr>
        <w:t> </w:t>
      </w:r>
      <w:r>
        <w:rPr/>
        <w:t>per</w:t>
      </w:r>
      <w:r>
        <w:rPr>
          <w:spacing w:val="-15"/>
        </w:rPr>
        <w:t> </w:t>
      </w:r>
      <w:r>
        <w:rPr/>
        <w:t>l’allestimento dei</w:t>
      </w:r>
      <w:r>
        <w:rPr>
          <w:spacing w:val="-15"/>
        </w:rPr>
        <w:t> </w:t>
      </w:r>
      <w:r>
        <w:rPr/>
        <w:t>giardini</w:t>
      </w:r>
      <w:r>
        <w:rPr>
          <w:spacing w:val="-13"/>
        </w:rPr>
        <w:t> </w:t>
      </w:r>
      <w:r>
        <w:rPr/>
        <w:t>e</w:t>
      </w:r>
      <w:r>
        <w:rPr>
          <w:spacing w:val="-15"/>
        </w:rPr>
        <w:t> </w:t>
      </w:r>
      <w:r>
        <w:rPr/>
        <w:t>degli</w:t>
      </w:r>
      <w:r>
        <w:rPr>
          <w:spacing w:val="-14"/>
        </w:rPr>
        <w:t> </w:t>
      </w:r>
      <w:r>
        <w:rPr/>
        <w:t>orti</w:t>
      </w:r>
      <w:r>
        <w:rPr>
          <w:spacing w:val="-14"/>
        </w:rPr>
        <w:t> </w:t>
      </w:r>
      <w:r>
        <w:rPr/>
        <w:t>didattici</w:t>
      </w:r>
      <w:r>
        <w:rPr>
          <w:spacing w:val="-14"/>
        </w:rPr>
        <w:t> </w:t>
      </w:r>
      <w:r>
        <w:rPr/>
        <w:t>o</w:t>
      </w:r>
      <w:r>
        <w:rPr>
          <w:spacing w:val="-15"/>
        </w:rPr>
        <w:t> </w:t>
      </w:r>
      <w:r>
        <w:rPr/>
        <w:t>dei</w:t>
      </w:r>
      <w:r>
        <w:rPr>
          <w:spacing w:val="-14"/>
        </w:rPr>
        <w:t> </w:t>
      </w:r>
      <w:r>
        <w:rPr/>
        <w:t>laboratori.</w:t>
      </w:r>
      <w:r>
        <w:rPr>
          <w:spacing w:val="-15"/>
        </w:rPr>
        <w:t> </w:t>
      </w:r>
      <w:r>
        <w:rPr/>
        <w:t>In</w:t>
      </w:r>
      <w:r>
        <w:rPr>
          <w:spacing w:val="-15"/>
        </w:rPr>
        <w:t> </w:t>
      </w:r>
      <w:r>
        <w:rPr/>
        <w:t>questa</w:t>
      </w:r>
      <w:r>
        <w:rPr>
          <w:spacing w:val="-14"/>
        </w:rPr>
        <w:t> </w:t>
      </w:r>
      <w:r>
        <w:rPr/>
        <w:t>voce</w:t>
      </w:r>
      <w:r>
        <w:rPr>
          <w:spacing w:val="-15"/>
        </w:rPr>
        <w:t> </w:t>
      </w:r>
      <w:r>
        <w:rPr/>
        <w:t>possono</w:t>
      </w:r>
      <w:r>
        <w:rPr>
          <w:spacing w:val="-15"/>
        </w:rPr>
        <w:t> </w:t>
      </w:r>
      <w:r>
        <w:rPr/>
        <w:t>essere</w:t>
      </w:r>
      <w:r>
        <w:rPr>
          <w:spacing w:val="-17"/>
        </w:rPr>
        <w:t> </w:t>
      </w:r>
      <w:r>
        <w:rPr/>
        <w:t>altresì</w:t>
      </w:r>
      <w:r>
        <w:rPr>
          <w:spacing w:val="-14"/>
        </w:rPr>
        <w:t> </w:t>
      </w:r>
      <w:r>
        <w:rPr/>
        <w:t>ricompresi</w:t>
      </w:r>
      <w:r>
        <w:rPr>
          <w:spacing w:val="-15"/>
        </w:rPr>
        <w:t> </w:t>
      </w:r>
      <w:r>
        <w:rPr/>
        <w:t>eventuali lavori di sistemazione/preparazione del terreno per la coltivazione, laddove</w:t>
      </w:r>
      <w:r>
        <w:rPr>
          <w:spacing w:val="-8"/>
        </w:rPr>
        <w:t> </w:t>
      </w:r>
      <w:r>
        <w:rPr/>
        <w:t>necessari.</w:t>
      </w:r>
    </w:p>
    <w:p>
      <w:pPr>
        <w:pStyle w:val="BodyText"/>
      </w:pPr>
    </w:p>
    <w:p>
      <w:pPr>
        <w:pStyle w:val="Heading2"/>
        <w:numPr>
          <w:ilvl w:val="0"/>
          <w:numId w:val="7"/>
        </w:numPr>
        <w:tabs>
          <w:tab w:pos="407" w:val="left" w:leader="none"/>
        </w:tabs>
        <w:spacing w:line="240" w:lineRule="auto" w:before="0" w:after="0"/>
        <w:ind w:left="406" w:right="0" w:hanging="294"/>
        <w:jc w:val="left"/>
      </w:pPr>
      <w:r>
        <w:rPr/>
        <w:t>Pubblicità</w:t>
      </w:r>
    </w:p>
    <w:p>
      <w:pPr>
        <w:pStyle w:val="BodyText"/>
        <w:spacing w:before="1"/>
        <w:ind w:left="112" w:right="151"/>
        <w:jc w:val="both"/>
      </w:pPr>
      <w:r>
        <w:rPr/>
        <w:t>Il</w:t>
      </w:r>
      <w:r>
        <w:rPr>
          <w:spacing w:val="-7"/>
        </w:rPr>
        <w:t> </w:t>
      </w:r>
      <w:r>
        <w:rPr/>
        <w:t>corretto</w:t>
      </w:r>
      <w:r>
        <w:rPr>
          <w:spacing w:val="-7"/>
        </w:rPr>
        <w:t> </w:t>
      </w:r>
      <w:r>
        <w:rPr/>
        <w:t>adempimento</w:t>
      </w:r>
      <w:r>
        <w:rPr>
          <w:spacing w:val="-7"/>
        </w:rPr>
        <w:t> </w:t>
      </w:r>
      <w:r>
        <w:rPr/>
        <w:t>rispetto</w:t>
      </w:r>
      <w:r>
        <w:rPr>
          <w:spacing w:val="-7"/>
        </w:rPr>
        <w:t> </w:t>
      </w:r>
      <w:r>
        <w:rPr/>
        <w:t>agli</w:t>
      </w:r>
      <w:r>
        <w:rPr>
          <w:spacing w:val="-6"/>
        </w:rPr>
        <w:t> </w:t>
      </w:r>
      <w:r>
        <w:rPr/>
        <w:t>obblighi</w:t>
      </w:r>
      <w:r>
        <w:rPr>
          <w:spacing w:val="-8"/>
        </w:rPr>
        <w:t> </w:t>
      </w:r>
      <w:r>
        <w:rPr/>
        <w:t>di</w:t>
      </w:r>
      <w:r>
        <w:rPr>
          <w:spacing w:val="-4"/>
        </w:rPr>
        <w:t> </w:t>
      </w:r>
      <w:r>
        <w:rPr/>
        <w:t>pubblicità</w:t>
      </w:r>
      <w:r>
        <w:rPr>
          <w:spacing w:val="-5"/>
        </w:rPr>
        <w:t> </w:t>
      </w:r>
      <w:r>
        <w:rPr/>
        <w:t>costituisce</w:t>
      </w:r>
      <w:r>
        <w:rPr>
          <w:spacing w:val="-5"/>
        </w:rPr>
        <w:t> </w:t>
      </w:r>
      <w:r>
        <w:rPr/>
        <w:t>una</w:t>
      </w:r>
      <w:r>
        <w:rPr>
          <w:spacing w:val="-5"/>
        </w:rPr>
        <w:t> </w:t>
      </w:r>
      <w:r>
        <w:rPr/>
        <w:t>condizione</w:t>
      </w:r>
      <w:r>
        <w:rPr>
          <w:spacing w:val="-6"/>
        </w:rPr>
        <w:t> </w:t>
      </w:r>
      <w:r>
        <w:rPr/>
        <w:t>imprescindibile</w:t>
      </w:r>
      <w:r>
        <w:rPr>
          <w:spacing w:val="-6"/>
        </w:rPr>
        <w:t> </w:t>
      </w:r>
      <w:r>
        <w:rPr/>
        <w:t>di ogni intervento finanziato con i Fondi Strutturali e deve essere programmata a livello di singolo intervento.</w:t>
      </w:r>
      <w:r>
        <w:rPr>
          <w:spacing w:val="-7"/>
        </w:rPr>
        <w:t> </w:t>
      </w:r>
      <w:r>
        <w:rPr/>
        <w:t>Per</w:t>
      </w:r>
      <w:r>
        <w:rPr>
          <w:spacing w:val="-8"/>
        </w:rPr>
        <w:t> </w:t>
      </w:r>
      <w:r>
        <w:rPr/>
        <w:t>ogni</w:t>
      </w:r>
      <w:r>
        <w:rPr>
          <w:spacing w:val="-7"/>
        </w:rPr>
        <w:t> </w:t>
      </w:r>
      <w:r>
        <w:rPr/>
        <w:t>progetto</w:t>
      </w:r>
      <w:r>
        <w:rPr>
          <w:spacing w:val="-8"/>
        </w:rPr>
        <w:t> </w:t>
      </w:r>
      <w:r>
        <w:rPr/>
        <w:t>cofinanziato</w:t>
      </w:r>
      <w:r>
        <w:rPr>
          <w:spacing w:val="-9"/>
        </w:rPr>
        <w:t> </w:t>
      </w:r>
      <w:r>
        <w:rPr/>
        <w:t>dal</w:t>
      </w:r>
      <w:r>
        <w:rPr>
          <w:spacing w:val="-9"/>
        </w:rPr>
        <w:t> </w:t>
      </w:r>
      <w:r>
        <w:rPr/>
        <w:t>Fondo</w:t>
      </w:r>
      <w:r>
        <w:rPr>
          <w:spacing w:val="-8"/>
        </w:rPr>
        <w:t> </w:t>
      </w:r>
      <w:r>
        <w:rPr/>
        <w:t>Sociale</w:t>
      </w:r>
      <w:r>
        <w:rPr>
          <w:spacing w:val="-9"/>
        </w:rPr>
        <w:t> </w:t>
      </w:r>
      <w:r>
        <w:rPr/>
        <w:t>Europeo</w:t>
      </w:r>
      <w:r>
        <w:rPr>
          <w:spacing w:val="-8"/>
        </w:rPr>
        <w:t> </w:t>
      </w:r>
      <w:r>
        <w:rPr/>
        <w:t>o</w:t>
      </w:r>
      <w:r>
        <w:rPr>
          <w:spacing w:val="-8"/>
        </w:rPr>
        <w:t> </w:t>
      </w:r>
      <w:r>
        <w:rPr/>
        <w:t>del</w:t>
      </w:r>
      <w:r>
        <w:rPr>
          <w:spacing w:val="-6"/>
        </w:rPr>
        <w:t> </w:t>
      </w:r>
      <w:r>
        <w:rPr/>
        <w:t>Fondo</w:t>
      </w:r>
      <w:r>
        <w:rPr>
          <w:spacing w:val="-8"/>
        </w:rPr>
        <w:t> </w:t>
      </w:r>
      <w:r>
        <w:rPr/>
        <w:t>Europeo</w:t>
      </w:r>
      <w:r>
        <w:rPr>
          <w:spacing w:val="-8"/>
        </w:rPr>
        <w:t> </w:t>
      </w:r>
      <w:r>
        <w:rPr/>
        <w:t>di</w:t>
      </w:r>
      <w:r>
        <w:rPr>
          <w:spacing w:val="-7"/>
        </w:rPr>
        <w:t> </w:t>
      </w:r>
      <w:r>
        <w:rPr/>
        <w:t>Sviluppo Regionale, il beneficiario è tenuto a svolgere una specifica azione di informazione, sensibilizzazione e pubblicità. Sussiste, altresì, l’obbligo di apposizione di targhette con logo, codice progetto e indicazione del</w:t>
      </w:r>
      <w:r>
        <w:rPr>
          <w:spacing w:val="-11"/>
        </w:rPr>
        <w:t> </w:t>
      </w:r>
      <w:r>
        <w:rPr/>
        <w:t>fondo</w:t>
      </w:r>
      <w:r>
        <w:rPr>
          <w:spacing w:val="-13"/>
        </w:rPr>
        <w:t> </w:t>
      </w:r>
      <w:r>
        <w:rPr/>
        <w:t>su</w:t>
      </w:r>
      <w:r>
        <w:rPr>
          <w:spacing w:val="-14"/>
        </w:rPr>
        <w:t> </w:t>
      </w:r>
      <w:r>
        <w:rPr/>
        <w:t>tutti</w:t>
      </w:r>
      <w:r>
        <w:rPr>
          <w:spacing w:val="-11"/>
        </w:rPr>
        <w:t> </w:t>
      </w:r>
      <w:r>
        <w:rPr/>
        <w:t>i</w:t>
      </w:r>
      <w:r>
        <w:rPr>
          <w:spacing w:val="-12"/>
        </w:rPr>
        <w:t> </w:t>
      </w:r>
      <w:r>
        <w:rPr/>
        <w:t>beni</w:t>
      </w:r>
      <w:r>
        <w:rPr>
          <w:spacing w:val="-14"/>
        </w:rPr>
        <w:t> </w:t>
      </w:r>
      <w:r>
        <w:rPr/>
        <w:t>acquistati</w:t>
      </w:r>
      <w:r>
        <w:rPr>
          <w:spacing w:val="-14"/>
        </w:rPr>
        <w:t> </w:t>
      </w:r>
      <w:r>
        <w:rPr/>
        <w:t>con</w:t>
      </w:r>
      <w:r>
        <w:rPr>
          <w:spacing w:val="-10"/>
        </w:rPr>
        <w:t> </w:t>
      </w:r>
      <w:r>
        <w:rPr/>
        <w:t>il</w:t>
      </w:r>
      <w:r>
        <w:rPr>
          <w:spacing w:val="-12"/>
        </w:rPr>
        <w:t> </w:t>
      </w:r>
      <w:r>
        <w:rPr/>
        <w:t>FESR.</w:t>
      </w:r>
      <w:r>
        <w:rPr>
          <w:spacing w:val="-14"/>
        </w:rPr>
        <w:t> </w:t>
      </w:r>
      <w:r>
        <w:rPr/>
        <w:t>Le</w:t>
      </w:r>
      <w:r>
        <w:rPr>
          <w:spacing w:val="-11"/>
        </w:rPr>
        <w:t> </w:t>
      </w:r>
      <w:r>
        <w:rPr/>
        <w:t>relative</w:t>
      </w:r>
      <w:r>
        <w:rPr>
          <w:spacing w:val="-13"/>
        </w:rPr>
        <w:t> </w:t>
      </w:r>
      <w:r>
        <w:rPr/>
        <w:t>specifiche</w:t>
      </w:r>
      <w:r>
        <w:rPr>
          <w:spacing w:val="-11"/>
        </w:rPr>
        <w:t> </w:t>
      </w:r>
      <w:r>
        <w:rPr/>
        <w:t>tecniche</w:t>
      </w:r>
      <w:r>
        <w:rPr>
          <w:spacing w:val="-11"/>
        </w:rPr>
        <w:t> </w:t>
      </w:r>
      <w:r>
        <w:rPr/>
        <w:t>sono</w:t>
      </w:r>
      <w:r>
        <w:rPr>
          <w:spacing w:val="-12"/>
        </w:rPr>
        <w:t> </w:t>
      </w:r>
      <w:r>
        <w:rPr/>
        <w:t>disponibili</w:t>
      </w:r>
      <w:r>
        <w:rPr>
          <w:spacing w:val="-13"/>
        </w:rPr>
        <w:t> </w:t>
      </w:r>
      <w:r>
        <w:rPr/>
        <w:t>al</w:t>
      </w:r>
      <w:r>
        <w:rPr>
          <w:spacing w:val="-14"/>
        </w:rPr>
        <w:t> </w:t>
      </w:r>
      <w:r>
        <w:rPr/>
        <w:t>seguente </w:t>
      </w:r>
      <w:r>
        <w:rPr>
          <w:i/>
        </w:rPr>
        <w:t>link</w:t>
      </w:r>
      <w:r>
        <w:rPr/>
        <w:t>:</w:t>
      </w:r>
      <w:r>
        <w:rPr>
          <w:spacing w:val="-1"/>
        </w:rPr>
        <w:t> </w:t>
      </w:r>
      <w:hyperlink r:id="rId14">
        <w:r>
          <w:rPr>
            <w:i/>
            <w:color w:val="0000FF"/>
            <w:u w:val="single" w:color="0000FF"/>
          </w:rPr>
          <w:t>https://www.istruzione.it/pon/ponkit.html</w:t>
        </w:r>
        <w:r>
          <w:rPr/>
          <w:t>.</w:t>
        </w:r>
      </w:hyperlink>
    </w:p>
    <w:p>
      <w:pPr>
        <w:pStyle w:val="BodyText"/>
      </w:pPr>
    </w:p>
    <w:p>
      <w:pPr>
        <w:pStyle w:val="Heading2"/>
        <w:numPr>
          <w:ilvl w:val="0"/>
          <w:numId w:val="7"/>
        </w:numPr>
        <w:tabs>
          <w:tab w:pos="385" w:val="left" w:leader="none"/>
        </w:tabs>
        <w:spacing w:line="269" w:lineRule="exact" w:before="0" w:after="0"/>
        <w:ind w:left="384" w:right="0" w:hanging="272"/>
        <w:jc w:val="left"/>
      </w:pPr>
      <w:r>
        <w:rPr/>
        <w:t>Certificato di collaudo, verifica di conformità o di regolare</w:t>
      </w:r>
      <w:r>
        <w:rPr>
          <w:spacing w:val="-9"/>
        </w:rPr>
        <w:t> </w:t>
      </w:r>
      <w:r>
        <w:rPr/>
        <w:t>esecuzione</w:t>
      </w:r>
    </w:p>
    <w:p>
      <w:pPr>
        <w:pStyle w:val="BodyText"/>
        <w:ind w:left="112"/>
      </w:pPr>
      <w:r>
        <w:rPr/>
        <w:t>A seguito della realizzazione dei giardini didattici o dei laboratori, l’istituzione scolastica provvede al rilascio dei certificati di collaudo, di verifica di conformità o dei certificati di regolare esecuzione.</w:t>
      </w:r>
    </w:p>
    <w:p>
      <w:pPr>
        <w:pStyle w:val="BodyText"/>
        <w:spacing w:before="9"/>
        <w:rPr>
          <w:sz w:val="25"/>
        </w:rPr>
      </w:pPr>
    </w:p>
    <w:p>
      <w:pPr>
        <w:pStyle w:val="Heading3"/>
        <w:numPr>
          <w:ilvl w:val="1"/>
          <w:numId w:val="5"/>
        </w:numPr>
        <w:tabs>
          <w:tab w:pos="833" w:val="left" w:leader="none"/>
          <w:tab w:pos="834" w:val="left" w:leader="none"/>
        </w:tabs>
        <w:spacing w:line="240" w:lineRule="auto" w:before="0" w:after="0"/>
        <w:ind w:left="833" w:right="0" w:hanging="721"/>
        <w:jc w:val="left"/>
      </w:pPr>
      <w:r>
        <w:rPr>
          <w:color w:val="006FC0"/>
        </w:rPr>
        <w:t>Spese ammissibili: precisazioni</w:t>
      </w:r>
      <w:r>
        <w:rPr>
          <w:color w:val="006FC0"/>
          <w:spacing w:val="-2"/>
        </w:rPr>
        <w:t> </w:t>
      </w:r>
      <w:r>
        <w:rPr>
          <w:color w:val="006FC0"/>
        </w:rPr>
        <w:t>generali</w:t>
      </w:r>
    </w:p>
    <w:p>
      <w:pPr>
        <w:pStyle w:val="BodyText"/>
        <w:spacing w:before="4"/>
        <w:ind w:left="112"/>
      </w:pPr>
      <w:r>
        <w:rPr/>
        <w:t>In merito alle spese ammissibili si precisa che non sono ammessi gli acquisti di cancelleria e materiale di facile consumo e i canoni di abbonamento a servizi.</w:t>
      </w:r>
    </w:p>
    <w:p>
      <w:pPr>
        <w:pStyle w:val="BodyText"/>
        <w:spacing w:before="9"/>
        <w:rPr>
          <w:sz w:val="25"/>
        </w:rPr>
      </w:pPr>
    </w:p>
    <w:p>
      <w:pPr>
        <w:pStyle w:val="Heading3"/>
        <w:numPr>
          <w:ilvl w:val="1"/>
          <w:numId w:val="5"/>
        </w:numPr>
        <w:tabs>
          <w:tab w:pos="478" w:val="left" w:leader="none"/>
        </w:tabs>
        <w:spacing w:line="240" w:lineRule="auto" w:before="0" w:after="0"/>
        <w:ind w:left="477" w:right="0" w:hanging="365"/>
        <w:jc w:val="left"/>
      </w:pPr>
      <w:r>
        <w:rPr>
          <w:color w:val="006FC0"/>
        </w:rPr>
        <w:t>Spese</w:t>
      </w:r>
      <w:r>
        <w:rPr>
          <w:color w:val="006FC0"/>
          <w:spacing w:val="-1"/>
        </w:rPr>
        <w:t> </w:t>
      </w:r>
      <w:r>
        <w:rPr>
          <w:color w:val="006FC0"/>
        </w:rPr>
        <w:t>cumulative</w:t>
      </w:r>
    </w:p>
    <w:p>
      <w:pPr>
        <w:pStyle w:val="BodyText"/>
        <w:spacing w:before="1"/>
        <w:ind w:left="112" w:right="149"/>
        <w:jc w:val="both"/>
      </w:pPr>
      <w:r>
        <w:rPr/>
        <w:t>Le spese (ad esempio di pubblicità e del personale di segreteria), che possono essere effettuate cumulativamente per più progetti, dovranno essere imputate nei limiti dei massimali di spesa previsti dall’iniziativa oggetto del presente Avviso. La relativa fattura, pertanto, deve riportare l’indicazione del codice del progetto con la relativa quota parte di spesa.</w:t>
      </w:r>
    </w:p>
    <w:p>
      <w:pPr>
        <w:pStyle w:val="BodyText"/>
        <w:spacing w:before="7"/>
        <w:rPr>
          <w:sz w:val="32"/>
        </w:rPr>
      </w:pPr>
    </w:p>
    <w:p>
      <w:pPr>
        <w:pStyle w:val="Heading2"/>
      </w:pPr>
      <w:r>
        <w:rPr>
          <w:color w:val="006FC0"/>
        </w:rPr>
        <w:t>Art. 7 – Requisiti di ammissibilità</w:t>
      </w:r>
    </w:p>
    <w:p>
      <w:pPr>
        <w:pStyle w:val="ListParagraph"/>
        <w:numPr>
          <w:ilvl w:val="0"/>
          <w:numId w:val="8"/>
        </w:numPr>
        <w:tabs>
          <w:tab w:pos="397" w:val="left" w:leader="none"/>
        </w:tabs>
        <w:spacing w:line="270" w:lineRule="exact" w:before="1" w:after="0"/>
        <w:ind w:left="396" w:right="0" w:hanging="284"/>
        <w:jc w:val="left"/>
        <w:rPr>
          <w:sz w:val="24"/>
        </w:rPr>
      </w:pPr>
      <w:r>
        <w:rPr>
          <w:sz w:val="24"/>
        </w:rPr>
        <w:t>Sono ammesse alla selezione le candidature</w:t>
      </w:r>
      <w:r>
        <w:rPr>
          <w:spacing w:val="1"/>
          <w:sz w:val="24"/>
        </w:rPr>
        <w:t> </w:t>
      </w:r>
      <w:r>
        <w:rPr>
          <w:sz w:val="24"/>
        </w:rPr>
        <w:t>che:</w:t>
      </w:r>
    </w:p>
    <w:p>
      <w:pPr>
        <w:pStyle w:val="ListParagraph"/>
        <w:numPr>
          <w:ilvl w:val="1"/>
          <w:numId w:val="8"/>
        </w:numPr>
        <w:tabs>
          <w:tab w:pos="1193" w:val="left" w:leader="none"/>
          <w:tab w:pos="1194" w:val="left" w:leader="none"/>
        </w:tabs>
        <w:spacing w:line="270" w:lineRule="exact" w:before="0" w:after="0"/>
        <w:ind w:left="1193" w:right="0" w:hanging="360"/>
        <w:jc w:val="left"/>
        <w:rPr>
          <w:sz w:val="24"/>
        </w:rPr>
      </w:pPr>
      <w:r>
        <w:rPr>
          <w:sz w:val="24"/>
        </w:rPr>
        <w:t>provengano dalle istituzioni scolastiche di cui all’articolo 2 del presente</w:t>
      </w:r>
      <w:r>
        <w:rPr>
          <w:spacing w:val="-12"/>
          <w:sz w:val="24"/>
        </w:rPr>
        <w:t> </w:t>
      </w:r>
      <w:r>
        <w:rPr>
          <w:sz w:val="24"/>
        </w:rPr>
        <w:t>Avviso;</w:t>
      </w:r>
    </w:p>
    <w:p>
      <w:pPr>
        <w:pStyle w:val="ListParagraph"/>
        <w:numPr>
          <w:ilvl w:val="1"/>
          <w:numId w:val="8"/>
        </w:numPr>
        <w:tabs>
          <w:tab w:pos="1194" w:val="left" w:leader="none"/>
        </w:tabs>
        <w:spacing w:line="240" w:lineRule="auto" w:before="2" w:after="0"/>
        <w:ind w:left="1193" w:right="150" w:hanging="360"/>
        <w:jc w:val="both"/>
        <w:rPr>
          <w:sz w:val="24"/>
        </w:rPr>
      </w:pPr>
      <w:r>
        <w:rPr>
          <w:sz w:val="24"/>
        </w:rPr>
        <w:t>siano presentate attraverso le piattaforme GPU e SIF, nel rispetto dei termini previsti dal presente avviso per cui fa fede l’inoltro </w:t>
      </w:r>
      <w:r>
        <w:rPr>
          <w:i/>
          <w:sz w:val="24"/>
        </w:rPr>
        <w:t>on</w:t>
      </w:r>
      <w:r>
        <w:rPr>
          <w:i/>
          <w:spacing w:val="-7"/>
          <w:sz w:val="24"/>
        </w:rPr>
        <w:t> </w:t>
      </w:r>
      <w:r>
        <w:rPr>
          <w:i/>
          <w:sz w:val="24"/>
        </w:rPr>
        <w:t>line</w:t>
      </w:r>
      <w:r>
        <w:rPr>
          <w:sz w:val="24"/>
        </w:rPr>
        <w:t>;</w:t>
      </w:r>
    </w:p>
    <w:p>
      <w:pPr>
        <w:pStyle w:val="ListParagraph"/>
        <w:numPr>
          <w:ilvl w:val="1"/>
          <w:numId w:val="8"/>
        </w:numPr>
        <w:tabs>
          <w:tab w:pos="1194" w:val="left" w:leader="none"/>
        </w:tabs>
        <w:spacing w:line="240" w:lineRule="auto" w:before="0" w:after="0"/>
        <w:ind w:left="1193" w:right="150" w:hanging="360"/>
        <w:jc w:val="both"/>
        <w:rPr>
          <w:sz w:val="24"/>
        </w:rPr>
      </w:pPr>
      <w:r>
        <w:rPr>
          <w:sz w:val="24"/>
        </w:rPr>
        <w:t>presentino il formulario </w:t>
      </w:r>
      <w:r>
        <w:rPr>
          <w:i/>
          <w:sz w:val="24"/>
        </w:rPr>
        <w:t>on line </w:t>
      </w:r>
      <w:r>
        <w:rPr>
          <w:sz w:val="24"/>
        </w:rPr>
        <w:t>compilato in ciascuna sezione. Le candidature accettate sono solo quelle pervenute attraverso la piattaforma GPU e successivamente firmate digitalmente su SIF. Non saranno accettate candidature trasmesse in altra</w:t>
      </w:r>
      <w:r>
        <w:rPr>
          <w:spacing w:val="-8"/>
          <w:sz w:val="24"/>
        </w:rPr>
        <w:t> </w:t>
      </w:r>
      <w:r>
        <w:rPr>
          <w:sz w:val="24"/>
        </w:rPr>
        <w:t>modalità;</w:t>
      </w:r>
    </w:p>
    <w:p>
      <w:pPr>
        <w:pStyle w:val="ListParagraph"/>
        <w:numPr>
          <w:ilvl w:val="1"/>
          <w:numId w:val="8"/>
        </w:numPr>
        <w:tabs>
          <w:tab w:pos="1194" w:val="left" w:leader="none"/>
        </w:tabs>
        <w:spacing w:line="240" w:lineRule="auto" w:before="0" w:after="0"/>
        <w:ind w:left="1193" w:right="151" w:hanging="360"/>
        <w:jc w:val="both"/>
        <w:rPr>
          <w:sz w:val="24"/>
        </w:rPr>
      </w:pPr>
      <w:r>
        <w:rPr>
          <w:sz w:val="24"/>
        </w:rPr>
        <w:t>abbiano acquisito il Codice unico di progetto (CUP), che dovrà essere riportato su tutti i documenti relativi alla procedura di</w:t>
      </w:r>
      <w:r>
        <w:rPr>
          <w:spacing w:val="-2"/>
          <w:sz w:val="24"/>
        </w:rPr>
        <w:t> </w:t>
      </w:r>
      <w:r>
        <w:rPr>
          <w:sz w:val="24"/>
        </w:rPr>
        <w:t>attuazione;</w:t>
      </w:r>
    </w:p>
    <w:p>
      <w:pPr>
        <w:pStyle w:val="ListParagraph"/>
        <w:numPr>
          <w:ilvl w:val="1"/>
          <w:numId w:val="8"/>
        </w:numPr>
        <w:tabs>
          <w:tab w:pos="1193" w:val="left" w:leader="none"/>
          <w:tab w:pos="1194" w:val="left" w:leader="none"/>
        </w:tabs>
        <w:spacing w:line="240" w:lineRule="auto" w:before="0" w:after="0"/>
        <w:ind w:left="1193" w:right="0" w:hanging="360"/>
        <w:jc w:val="left"/>
        <w:rPr>
          <w:sz w:val="24"/>
        </w:rPr>
      </w:pPr>
      <w:r>
        <w:rPr>
          <w:sz w:val="24"/>
        </w:rPr>
        <w:t>non superino l’importo massimo stabilito per il progetto,</w:t>
      </w:r>
      <w:r>
        <w:rPr>
          <w:spacing w:val="1"/>
          <w:sz w:val="24"/>
        </w:rPr>
        <w:t> </w:t>
      </w:r>
      <w:r>
        <w:rPr>
          <w:sz w:val="24"/>
        </w:rPr>
        <w:t>secondo quanto previsto</w:t>
      </w:r>
    </w:p>
    <w:p>
      <w:pPr>
        <w:pStyle w:val="BodyText"/>
        <w:ind w:left="1193"/>
      </w:pPr>
      <w:r>
        <w:rPr/>
        <w:t>dall’articolo 4, commi 1 e 2, del presente avviso;</w:t>
      </w:r>
    </w:p>
    <w:p>
      <w:pPr>
        <w:spacing w:after="0"/>
        <w:sectPr>
          <w:pgSz w:w="11910" w:h="16840"/>
          <w:pgMar w:header="653" w:footer="514" w:top="1480" w:bottom="720" w:left="1020" w:right="980"/>
        </w:sectPr>
      </w:pPr>
    </w:p>
    <w:p>
      <w:pPr>
        <w:pStyle w:val="BodyText"/>
        <w:rPr>
          <w:sz w:val="20"/>
        </w:rPr>
      </w:pPr>
    </w:p>
    <w:p>
      <w:pPr>
        <w:pStyle w:val="BodyText"/>
        <w:spacing w:before="3"/>
        <w:rPr>
          <w:sz w:val="29"/>
        </w:rPr>
      </w:pPr>
    </w:p>
    <w:p>
      <w:pPr>
        <w:pStyle w:val="ListParagraph"/>
        <w:numPr>
          <w:ilvl w:val="1"/>
          <w:numId w:val="8"/>
        </w:numPr>
        <w:tabs>
          <w:tab w:pos="1194" w:val="left" w:leader="none"/>
        </w:tabs>
        <w:spacing w:line="240" w:lineRule="auto" w:before="100" w:after="0"/>
        <w:ind w:left="1193" w:right="149" w:hanging="360"/>
        <w:jc w:val="both"/>
        <w:rPr>
          <w:sz w:val="24"/>
        </w:rPr>
      </w:pPr>
      <w:r>
        <w:rPr>
          <w:sz w:val="24"/>
        </w:rPr>
        <w:t>siano in possesso dell’approvazione del conto consuntivo da parte degli organi competenti relativo all’ultimo anno di esercizio utile disponibile, tenuto conto dell’attuale situazione di emergenza, a garanzia della capacità gestionale dei soggetti beneficiari richiesta dai regolamenti dei Fondi strutturali</w:t>
      </w:r>
      <w:r>
        <w:rPr>
          <w:spacing w:val="-4"/>
          <w:sz w:val="24"/>
        </w:rPr>
        <w:t> </w:t>
      </w:r>
      <w:r>
        <w:rPr>
          <w:sz w:val="24"/>
        </w:rPr>
        <w:t>europei.</w:t>
      </w:r>
    </w:p>
    <w:p>
      <w:pPr>
        <w:pStyle w:val="ListParagraph"/>
        <w:numPr>
          <w:ilvl w:val="0"/>
          <w:numId w:val="8"/>
        </w:numPr>
        <w:tabs>
          <w:tab w:pos="397" w:val="left" w:leader="none"/>
        </w:tabs>
        <w:spacing w:line="240" w:lineRule="auto" w:before="0" w:after="0"/>
        <w:ind w:left="396" w:right="153" w:hanging="284"/>
        <w:jc w:val="both"/>
        <w:rPr>
          <w:sz w:val="24"/>
        </w:rPr>
      </w:pPr>
      <w:r>
        <w:rPr>
          <w:sz w:val="24"/>
        </w:rPr>
        <w:t>La</w:t>
      </w:r>
      <w:r>
        <w:rPr>
          <w:spacing w:val="-10"/>
          <w:sz w:val="24"/>
        </w:rPr>
        <w:t> </w:t>
      </w:r>
      <w:r>
        <w:rPr>
          <w:sz w:val="24"/>
        </w:rPr>
        <w:t>mancanza</w:t>
      </w:r>
      <w:r>
        <w:rPr>
          <w:spacing w:val="-8"/>
          <w:sz w:val="24"/>
        </w:rPr>
        <w:t> </w:t>
      </w:r>
      <w:r>
        <w:rPr>
          <w:sz w:val="24"/>
        </w:rPr>
        <w:t>di</w:t>
      </w:r>
      <w:r>
        <w:rPr>
          <w:spacing w:val="-12"/>
          <w:sz w:val="24"/>
        </w:rPr>
        <w:t> </w:t>
      </w:r>
      <w:r>
        <w:rPr>
          <w:sz w:val="24"/>
        </w:rPr>
        <w:t>uno</w:t>
      </w:r>
      <w:r>
        <w:rPr>
          <w:spacing w:val="-11"/>
          <w:sz w:val="24"/>
        </w:rPr>
        <w:t> </w:t>
      </w:r>
      <w:r>
        <w:rPr>
          <w:sz w:val="24"/>
        </w:rPr>
        <w:t>solo</w:t>
      </w:r>
      <w:r>
        <w:rPr>
          <w:spacing w:val="-14"/>
          <w:sz w:val="24"/>
        </w:rPr>
        <w:t> </w:t>
      </w:r>
      <w:r>
        <w:rPr>
          <w:sz w:val="24"/>
        </w:rPr>
        <w:t>dei</w:t>
      </w:r>
      <w:r>
        <w:rPr>
          <w:spacing w:val="-9"/>
          <w:sz w:val="24"/>
        </w:rPr>
        <w:t> </w:t>
      </w:r>
      <w:r>
        <w:rPr>
          <w:sz w:val="24"/>
        </w:rPr>
        <w:t>suddetti</w:t>
      </w:r>
      <w:r>
        <w:rPr>
          <w:spacing w:val="-10"/>
          <w:sz w:val="24"/>
        </w:rPr>
        <w:t> </w:t>
      </w:r>
      <w:r>
        <w:rPr>
          <w:sz w:val="24"/>
        </w:rPr>
        <w:t>requisiti</w:t>
      </w:r>
      <w:r>
        <w:rPr>
          <w:spacing w:val="-12"/>
          <w:sz w:val="24"/>
        </w:rPr>
        <w:t> </w:t>
      </w:r>
      <w:r>
        <w:rPr>
          <w:sz w:val="24"/>
        </w:rPr>
        <w:t>comporta</w:t>
      </w:r>
      <w:r>
        <w:rPr>
          <w:spacing w:val="-9"/>
          <w:sz w:val="24"/>
        </w:rPr>
        <w:t> </w:t>
      </w:r>
      <w:r>
        <w:rPr>
          <w:sz w:val="24"/>
        </w:rPr>
        <w:t>la</w:t>
      </w:r>
      <w:r>
        <w:rPr>
          <w:spacing w:val="-10"/>
          <w:sz w:val="24"/>
        </w:rPr>
        <w:t> </w:t>
      </w:r>
      <w:r>
        <w:rPr>
          <w:sz w:val="24"/>
        </w:rPr>
        <w:t>non</w:t>
      </w:r>
      <w:r>
        <w:rPr>
          <w:spacing w:val="-10"/>
          <w:sz w:val="24"/>
        </w:rPr>
        <w:t> </w:t>
      </w:r>
      <w:r>
        <w:rPr>
          <w:sz w:val="24"/>
        </w:rPr>
        <w:t>ammissibilità</w:t>
      </w:r>
      <w:r>
        <w:rPr>
          <w:spacing w:val="-6"/>
          <w:sz w:val="24"/>
        </w:rPr>
        <w:t> </w:t>
      </w:r>
      <w:r>
        <w:rPr>
          <w:sz w:val="24"/>
        </w:rPr>
        <w:t>dell’istituzione</w:t>
      </w:r>
      <w:r>
        <w:rPr>
          <w:spacing w:val="-11"/>
          <w:sz w:val="24"/>
        </w:rPr>
        <w:t> </w:t>
      </w:r>
      <w:r>
        <w:rPr>
          <w:sz w:val="24"/>
        </w:rPr>
        <w:t>scolastica al finanziamento oggetto del presente</w:t>
      </w:r>
      <w:r>
        <w:rPr>
          <w:spacing w:val="-6"/>
          <w:sz w:val="24"/>
        </w:rPr>
        <w:t> </w:t>
      </w:r>
      <w:r>
        <w:rPr>
          <w:sz w:val="24"/>
        </w:rPr>
        <w:t>avviso.</w:t>
      </w:r>
    </w:p>
    <w:p>
      <w:pPr>
        <w:pStyle w:val="BodyText"/>
        <w:rPr>
          <w:sz w:val="22"/>
        </w:rPr>
      </w:pPr>
    </w:p>
    <w:p>
      <w:pPr>
        <w:pStyle w:val="Heading2"/>
        <w:spacing w:line="269" w:lineRule="exact"/>
      </w:pPr>
      <w:r>
        <w:rPr>
          <w:color w:val="006FC0"/>
        </w:rPr>
        <w:t>Art. 8 – Selezione delle candidature</w:t>
      </w:r>
    </w:p>
    <w:p>
      <w:pPr>
        <w:pStyle w:val="ListParagraph"/>
        <w:numPr>
          <w:ilvl w:val="0"/>
          <w:numId w:val="9"/>
        </w:numPr>
        <w:tabs>
          <w:tab w:pos="397" w:val="left" w:leader="none"/>
        </w:tabs>
        <w:spacing w:line="269" w:lineRule="exact" w:before="0" w:after="0"/>
        <w:ind w:left="396" w:right="0" w:hanging="284"/>
        <w:jc w:val="left"/>
        <w:rPr>
          <w:sz w:val="24"/>
        </w:rPr>
      </w:pPr>
      <w:r>
        <w:rPr>
          <w:sz w:val="24"/>
        </w:rPr>
        <w:t>La selezione delle candidature avverrà secondo la modalità “a</w:t>
      </w:r>
      <w:r>
        <w:rPr>
          <w:spacing w:val="-5"/>
          <w:sz w:val="24"/>
        </w:rPr>
        <w:t> </w:t>
      </w:r>
      <w:r>
        <w:rPr>
          <w:sz w:val="24"/>
        </w:rPr>
        <w:t>sportello”.</w:t>
      </w:r>
    </w:p>
    <w:p>
      <w:pPr>
        <w:pStyle w:val="ListParagraph"/>
        <w:numPr>
          <w:ilvl w:val="0"/>
          <w:numId w:val="9"/>
        </w:numPr>
        <w:tabs>
          <w:tab w:pos="397" w:val="left" w:leader="none"/>
        </w:tabs>
        <w:spacing w:line="240" w:lineRule="auto" w:before="1" w:after="0"/>
        <w:ind w:left="396" w:right="153" w:hanging="284"/>
        <w:jc w:val="both"/>
        <w:rPr>
          <w:sz w:val="24"/>
        </w:rPr>
      </w:pPr>
      <w:r>
        <w:rPr>
          <w:sz w:val="24"/>
        </w:rPr>
        <w:t>Per l’azione 1 – “</w:t>
      </w:r>
      <w:r>
        <w:rPr>
          <w:i/>
          <w:sz w:val="24"/>
          <w:u w:val="single"/>
        </w:rPr>
        <w:t>Edugreen</w:t>
      </w:r>
      <w:r>
        <w:rPr>
          <w:sz w:val="24"/>
          <w:u w:val="single"/>
        </w:rPr>
        <w:t>: laboratori di sostenibilità per il primo ciclo</w:t>
      </w:r>
      <w:r>
        <w:rPr>
          <w:sz w:val="24"/>
        </w:rPr>
        <w:t>” – saranno ammesse a finanziamento</w:t>
      </w:r>
      <w:r>
        <w:rPr>
          <w:spacing w:val="-8"/>
          <w:sz w:val="24"/>
        </w:rPr>
        <w:t> </w:t>
      </w:r>
      <w:r>
        <w:rPr>
          <w:sz w:val="24"/>
        </w:rPr>
        <w:t>le</w:t>
      </w:r>
      <w:r>
        <w:rPr>
          <w:spacing w:val="-10"/>
          <w:sz w:val="24"/>
        </w:rPr>
        <w:t> </w:t>
      </w:r>
      <w:r>
        <w:rPr>
          <w:sz w:val="24"/>
        </w:rPr>
        <w:t>candidature</w:t>
      </w:r>
      <w:r>
        <w:rPr>
          <w:spacing w:val="-7"/>
          <w:sz w:val="24"/>
        </w:rPr>
        <w:t> </w:t>
      </w:r>
      <w:r>
        <w:rPr>
          <w:sz w:val="24"/>
        </w:rPr>
        <w:t>che</w:t>
      </w:r>
      <w:r>
        <w:rPr>
          <w:spacing w:val="-7"/>
          <w:sz w:val="24"/>
        </w:rPr>
        <w:t> </w:t>
      </w:r>
      <w:r>
        <w:rPr>
          <w:sz w:val="24"/>
        </w:rPr>
        <w:t>rispettino</w:t>
      </w:r>
      <w:r>
        <w:rPr>
          <w:spacing w:val="-7"/>
          <w:sz w:val="24"/>
        </w:rPr>
        <w:t> </w:t>
      </w:r>
      <w:r>
        <w:rPr>
          <w:sz w:val="24"/>
        </w:rPr>
        <w:t>i</w:t>
      </w:r>
      <w:r>
        <w:rPr>
          <w:spacing w:val="-8"/>
          <w:sz w:val="24"/>
        </w:rPr>
        <w:t> </w:t>
      </w:r>
      <w:r>
        <w:rPr>
          <w:sz w:val="24"/>
        </w:rPr>
        <w:t>requisiti</w:t>
      </w:r>
      <w:r>
        <w:rPr>
          <w:spacing w:val="-8"/>
          <w:sz w:val="24"/>
        </w:rPr>
        <w:t> </w:t>
      </w:r>
      <w:r>
        <w:rPr>
          <w:sz w:val="24"/>
        </w:rPr>
        <w:t>di</w:t>
      </w:r>
      <w:r>
        <w:rPr>
          <w:spacing w:val="-8"/>
          <w:sz w:val="24"/>
        </w:rPr>
        <w:t> </w:t>
      </w:r>
      <w:r>
        <w:rPr>
          <w:sz w:val="24"/>
        </w:rPr>
        <w:t>cui</w:t>
      </w:r>
      <w:r>
        <w:rPr>
          <w:spacing w:val="-6"/>
          <w:sz w:val="24"/>
        </w:rPr>
        <w:t> </w:t>
      </w:r>
      <w:r>
        <w:rPr>
          <w:sz w:val="24"/>
        </w:rPr>
        <w:t>all’articolo</w:t>
      </w:r>
      <w:r>
        <w:rPr>
          <w:spacing w:val="-8"/>
          <w:sz w:val="24"/>
        </w:rPr>
        <w:t> </w:t>
      </w:r>
      <w:r>
        <w:rPr>
          <w:sz w:val="24"/>
        </w:rPr>
        <w:t>7</w:t>
      </w:r>
      <w:r>
        <w:rPr>
          <w:spacing w:val="-8"/>
          <w:sz w:val="24"/>
        </w:rPr>
        <w:t> </w:t>
      </w:r>
      <w:r>
        <w:rPr>
          <w:sz w:val="24"/>
        </w:rPr>
        <w:t>del</w:t>
      </w:r>
      <w:r>
        <w:rPr>
          <w:spacing w:val="-7"/>
          <w:sz w:val="24"/>
        </w:rPr>
        <w:t> </w:t>
      </w:r>
      <w:r>
        <w:rPr>
          <w:sz w:val="24"/>
        </w:rPr>
        <w:t>presente</w:t>
      </w:r>
      <w:r>
        <w:rPr>
          <w:spacing w:val="-9"/>
          <w:sz w:val="24"/>
        </w:rPr>
        <w:t> </w:t>
      </w:r>
      <w:r>
        <w:rPr>
          <w:sz w:val="24"/>
        </w:rPr>
        <w:t>avviso,</w:t>
      </w:r>
      <w:r>
        <w:rPr>
          <w:spacing w:val="-8"/>
          <w:sz w:val="24"/>
        </w:rPr>
        <w:t> </w:t>
      </w:r>
      <w:r>
        <w:rPr>
          <w:sz w:val="24"/>
        </w:rPr>
        <w:t>verificati dopo</w:t>
      </w:r>
      <w:r>
        <w:rPr>
          <w:spacing w:val="-6"/>
          <w:sz w:val="24"/>
        </w:rPr>
        <w:t> </w:t>
      </w:r>
      <w:r>
        <w:rPr>
          <w:sz w:val="24"/>
        </w:rPr>
        <w:t>la</w:t>
      </w:r>
      <w:r>
        <w:rPr>
          <w:spacing w:val="-5"/>
          <w:sz w:val="24"/>
        </w:rPr>
        <w:t> </w:t>
      </w:r>
      <w:r>
        <w:rPr>
          <w:sz w:val="24"/>
        </w:rPr>
        <w:t>scadenza</w:t>
      </w:r>
      <w:r>
        <w:rPr>
          <w:spacing w:val="-5"/>
          <w:sz w:val="24"/>
        </w:rPr>
        <w:t> </w:t>
      </w:r>
      <w:r>
        <w:rPr>
          <w:sz w:val="24"/>
        </w:rPr>
        <w:t>dei</w:t>
      </w:r>
      <w:r>
        <w:rPr>
          <w:spacing w:val="-5"/>
          <w:sz w:val="24"/>
        </w:rPr>
        <w:t> </w:t>
      </w:r>
      <w:r>
        <w:rPr>
          <w:sz w:val="24"/>
        </w:rPr>
        <w:t>termini</w:t>
      </w:r>
      <w:r>
        <w:rPr>
          <w:spacing w:val="-6"/>
          <w:sz w:val="24"/>
        </w:rPr>
        <w:t> </w:t>
      </w:r>
      <w:r>
        <w:rPr>
          <w:sz w:val="24"/>
        </w:rPr>
        <w:t>tramite</w:t>
      </w:r>
      <w:r>
        <w:rPr>
          <w:spacing w:val="-6"/>
          <w:sz w:val="24"/>
        </w:rPr>
        <w:t> </w:t>
      </w:r>
      <w:r>
        <w:rPr>
          <w:sz w:val="24"/>
        </w:rPr>
        <w:t>sistema</w:t>
      </w:r>
      <w:r>
        <w:rPr>
          <w:spacing w:val="-5"/>
          <w:sz w:val="24"/>
        </w:rPr>
        <w:t> </w:t>
      </w:r>
      <w:r>
        <w:rPr>
          <w:sz w:val="24"/>
        </w:rPr>
        <w:t>informativo,</w:t>
      </w:r>
      <w:r>
        <w:rPr>
          <w:spacing w:val="-5"/>
          <w:sz w:val="24"/>
        </w:rPr>
        <w:t> </w:t>
      </w:r>
      <w:r>
        <w:rPr>
          <w:sz w:val="24"/>
        </w:rPr>
        <w:t>sulla</w:t>
      </w:r>
      <w:r>
        <w:rPr>
          <w:spacing w:val="-5"/>
          <w:sz w:val="24"/>
        </w:rPr>
        <w:t> </w:t>
      </w:r>
      <w:r>
        <w:rPr>
          <w:sz w:val="24"/>
        </w:rPr>
        <w:t>base</w:t>
      </w:r>
      <w:r>
        <w:rPr>
          <w:spacing w:val="-5"/>
          <w:sz w:val="24"/>
        </w:rPr>
        <w:t> </w:t>
      </w:r>
      <w:r>
        <w:rPr>
          <w:sz w:val="24"/>
        </w:rPr>
        <w:t>dell’ordine</w:t>
      </w:r>
      <w:r>
        <w:rPr>
          <w:spacing w:val="-8"/>
          <w:sz w:val="24"/>
        </w:rPr>
        <w:t> </w:t>
      </w:r>
      <w:r>
        <w:rPr>
          <w:sz w:val="24"/>
        </w:rPr>
        <w:t>cronologico</w:t>
      </w:r>
      <w:r>
        <w:rPr>
          <w:spacing w:val="-5"/>
          <w:sz w:val="24"/>
        </w:rPr>
        <w:t> </w:t>
      </w:r>
      <w:r>
        <w:rPr>
          <w:sz w:val="24"/>
        </w:rPr>
        <w:t>della</w:t>
      </w:r>
      <w:r>
        <w:rPr>
          <w:spacing w:val="-5"/>
          <w:sz w:val="24"/>
        </w:rPr>
        <w:t> </w:t>
      </w:r>
      <w:r>
        <w:rPr>
          <w:sz w:val="24"/>
        </w:rPr>
        <w:t>data e dell’orario di presentazione delle stesse, fino al limite delle risorse</w:t>
      </w:r>
      <w:r>
        <w:rPr>
          <w:spacing w:val="-13"/>
          <w:sz w:val="24"/>
        </w:rPr>
        <w:t> </w:t>
      </w:r>
      <w:r>
        <w:rPr>
          <w:sz w:val="24"/>
        </w:rPr>
        <w:t>disponibili.</w:t>
      </w:r>
    </w:p>
    <w:p>
      <w:pPr>
        <w:pStyle w:val="ListParagraph"/>
        <w:numPr>
          <w:ilvl w:val="0"/>
          <w:numId w:val="9"/>
        </w:numPr>
        <w:tabs>
          <w:tab w:pos="397" w:val="left" w:leader="none"/>
        </w:tabs>
        <w:spacing w:line="240" w:lineRule="auto" w:before="1" w:after="0"/>
        <w:ind w:left="396" w:right="149" w:hanging="284"/>
        <w:jc w:val="both"/>
        <w:rPr>
          <w:sz w:val="24"/>
        </w:rPr>
      </w:pPr>
      <w:r>
        <w:rPr>
          <w:sz w:val="24"/>
        </w:rPr>
        <w:t>Per l’azione 2 – “</w:t>
      </w:r>
      <w:r>
        <w:rPr>
          <w:sz w:val="24"/>
          <w:u w:val="single"/>
        </w:rPr>
        <w:t>Laboratori </w:t>
      </w:r>
      <w:r>
        <w:rPr>
          <w:i/>
          <w:sz w:val="24"/>
          <w:u w:val="single"/>
        </w:rPr>
        <w:t>green</w:t>
      </w:r>
      <w:r>
        <w:rPr>
          <w:sz w:val="24"/>
          <w:u w:val="single"/>
        </w:rPr>
        <w:t>, sostenibili e innovativi per le scuole del secondo ciclo</w:t>
      </w:r>
      <w:r>
        <w:rPr>
          <w:sz w:val="24"/>
        </w:rPr>
        <w:t>” – saranno ammesse a finanziamento le candidature che rispettino i requisiti di cui all’articolo 7 del presente avviso, verificati dopo la scadenza dei termini tramite sistema informativo, sulla base dell’ordine cronologico</w:t>
      </w:r>
      <w:r>
        <w:rPr>
          <w:spacing w:val="-5"/>
          <w:sz w:val="24"/>
        </w:rPr>
        <w:t> </w:t>
      </w:r>
      <w:r>
        <w:rPr>
          <w:sz w:val="24"/>
        </w:rPr>
        <w:t>della</w:t>
      </w:r>
      <w:r>
        <w:rPr>
          <w:spacing w:val="-4"/>
          <w:sz w:val="24"/>
        </w:rPr>
        <w:t> </w:t>
      </w:r>
      <w:r>
        <w:rPr>
          <w:sz w:val="24"/>
        </w:rPr>
        <w:t>data</w:t>
      </w:r>
      <w:r>
        <w:rPr>
          <w:spacing w:val="-6"/>
          <w:sz w:val="24"/>
        </w:rPr>
        <w:t> </w:t>
      </w:r>
      <w:r>
        <w:rPr>
          <w:sz w:val="24"/>
        </w:rPr>
        <w:t>e</w:t>
      </w:r>
      <w:r>
        <w:rPr>
          <w:spacing w:val="-4"/>
          <w:sz w:val="24"/>
        </w:rPr>
        <w:t> </w:t>
      </w:r>
      <w:r>
        <w:rPr>
          <w:sz w:val="24"/>
        </w:rPr>
        <w:t>dell’orario</w:t>
      </w:r>
      <w:r>
        <w:rPr>
          <w:spacing w:val="-4"/>
          <w:sz w:val="24"/>
        </w:rPr>
        <w:t> </w:t>
      </w:r>
      <w:r>
        <w:rPr>
          <w:sz w:val="24"/>
        </w:rPr>
        <w:t>di</w:t>
      </w:r>
      <w:r>
        <w:rPr>
          <w:spacing w:val="-5"/>
          <w:sz w:val="24"/>
        </w:rPr>
        <w:t> </w:t>
      </w:r>
      <w:r>
        <w:rPr>
          <w:sz w:val="24"/>
        </w:rPr>
        <w:t>presentazione</w:t>
      </w:r>
      <w:r>
        <w:rPr>
          <w:spacing w:val="-6"/>
          <w:sz w:val="24"/>
        </w:rPr>
        <w:t> </w:t>
      </w:r>
      <w:r>
        <w:rPr>
          <w:sz w:val="24"/>
        </w:rPr>
        <w:t>delle</w:t>
      </w:r>
      <w:r>
        <w:rPr>
          <w:spacing w:val="-4"/>
          <w:sz w:val="24"/>
        </w:rPr>
        <w:t> </w:t>
      </w:r>
      <w:r>
        <w:rPr>
          <w:sz w:val="24"/>
        </w:rPr>
        <w:t>stesse,</w:t>
      </w:r>
      <w:r>
        <w:rPr>
          <w:spacing w:val="-5"/>
          <w:sz w:val="24"/>
        </w:rPr>
        <w:t> </w:t>
      </w:r>
      <w:r>
        <w:rPr>
          <w:sz w:val="24"/>
        </w:rPr>
        <w:t>fino</w:t>
      </w:r>
      <w:r>
        <w:rPr>
          <w:spacing w:val="-7"/>
          <w:sz w:val="24"/>
        </w:rPr>
        <w:t> </w:t>
      </w:r>
      <w:r>
        <w:rPr>
          <w:sz w:val="24"/>
        </w:rPr>
        <w:t>al</w:t>
      </w:r>
      <w:r>
        <w:rPr>
          <w:spacing w:val="-5"/>
          <w:sz w:val="24"/>
        </w:rPr>
        <w:t> </w:t>
      </w:r>
      <w:r>
        <w:rPr>
          <w:sz w:val="24"/>
        </w:rPr>
        <w:t>limite</w:t>
      </w:r>
      <w:r>
        <w:rPr>
          <w:spacing w:val="-6"/>
          <w:sz w:val="24"/>
        </w:rPr>
        <w:t> </w:t>
      </w:r>
      <w:r>
        <w:rPr>
          <w:sz w:val="24"/>
        </w:rPr>
        <w:t>delle</w:t>
      </w:r>
      <w:r>
        <w:rPr>
          <w:spacing w:val="-4"/>
          <w:sz w:val="24"/>
        </w:rPr>
        <w:t> </w:t>
      </w:r>
      <w:r>
        <w:rPr>
          <w:sz w:val="24"/>
        </w:rPr>
        <w:t>risorse</w:t>
      </w:r>
      <w:r>
        <w:rPr>
          <w:spacing w:val="-3"/>
          <w:sz w:val="24"/>
        </w:rPr>
        <w:t> </w:t>
      </w:r>
      <w:r>
        <w:rPr>
          <w:sz w:val="24"/>
        </w:rPr>
        <w:t>disponibili. Verrà data precedenza, nelle graduatorie, agli istituti tecnici e professionali ad indirizzo</w:t>
      </w:r>
      <w:r>
        <w:rPr>
          <w:spacing w:val="-19"/>
          <w:sz w:val="24"/>
        </w:rPr>
        <w:t> </w:t>
      </w:r>
      <w:r>
        <w:rPr>
          <w:sz w:val="24"/>
        </w:rPr>
        <w:t>agrario.</w:t>
      </w:r>
    </w:p>
    <w:p>
      <w:pPr>
        <w:pStyle w:val="ListParagraph"/>
        <w:numPr>
          <w:ilvl w:val="0"/>
          <w:numId w:val="9"/>
        </w:numPr>
        <w:tabs>
          <w:tab w:pos="397" w:val="left" w:leader="none"/>
        </w:tabs>
        <w:spacing w:line="240" w:lineRule="auto" w:before="0" w:after="0"/>
        <w:ind w:left="396" w:right="149" w:hanging="284"/>
        <w:jc w:val="both"/>
        <w:rPr>
          <w:sz w:val="24"/>
        </w:rPr>
      </w:pPr>
      <w:r>
        <w:rPr>
          <w:sz w:val="24"/>
        </w:rPr>
        <w:t>All’esito</w:t>
      </w:r>
      <w:r>
        <w:rPr>
          <w:spacing w:val="-12"/>
          <w:sz w:val="24"/>
        </w:rPr>
        <w:t> </w:t>
      </w:r>
      <w:r>
        <w:rPr>
          <w:sz w:val="24"/>
        </w:rPr>
        <w:t>delle</w:t>
      </w:r>
      <w:r>
        <w:rPr>
          <w:spacing w:val="-12"/>
          <w:sz w:val="24"/>
        </w:rPr>
        <w:t> </w:t>
      </w:r>
      <w:r>
        <w:rPr>
          <w:sz w:val="24"/>
        </w:rPr>
        <w:t>suddette</w:t>
      </w:r>
      <w:r>
        <w:rPr>
          <w:spacing w:val="-10"/>
          <w:sz w:val="24"/>
        </w:rPr>
        <w:t> </w:t>
      </w:r>
      <w:r>
        <w:rPr>
          <w:sz w:val="24"/>
        </w:rPr>
        <w:t>operazioni</w:t>
      </w:r>
      <w:r>
        <w:rPr>
          <w:spacing w:val="-10"/>
          <w:sz w:val="24"/>
        </w:rPr>
        <w:t> </w:t>
      </w:r>
      <w:r>
        <w:rPr>
          <w:sz w:val="24"/>
        </w:rPr>
        <w:t>saranno</w:t>
      </w:r>
      <w:r>
        <w:rPr>
          <w:spacing w:val="-11"/>
          <w:sz w:val="24"/>
        </w:rPr>
        <w:t> </w:t>
      </w:r>
      <w:r>
        <w:rPr>
          <w:sz w:val="24"/>
        </w:rPr>
        <w:t>pubblicate</w:t>
      </w:r>
      <w:r>
        <w:rPr>
          <w:spacing w:val="-11"/>
          <w:sz w:val="24"/>
        </w:rPr>
        <w:t> </w:t>
      </w:r>
      <w:r>
        <w:rPr>
          <w:sz w:val="24"/>
        </w:rPr>
        <w:t>le</w:t>
      </w:r>
      <w:r>
        <w:rPr>
          <w:spacing w:val="-10"/>
          <w:sz w:val="24"/>
        </w:rPr>
        <w:t> </w:t>
      </w:r>
      <w:r>
        <w:rPr>
          <w:sz w:val="24"/>
        </w:rPr>
        <w:t>graduatorie</w:t>
      </w:r>
      <w:r>
        <w:rPr>
          <w:spacing w:val="-10"/>
          <w:sz w:val="24"/>
        </w:rPr>
        <w:t> </w:t>
      </w:r>
      <w:r>
        <w:rPr>
          <w:sz w:val="24"/>
        </w:rPr>
        <w:t>regionali</w:t>
      </w:r>
      <w:r>
        <w:rPr>
          <w:spacing w:val="-10"/>
          <w:sz w:val="24"/>
        </w:rPr>
        <w:t> </w:t>
      </w:r>
      <w:r>
        <w:rPr>
          <w:sz w:val="24"/>
        </w:rPr>
        <w:t>per</w:t>
      </w:r>
      <w:r>
        <w:rPr>
          <w:spacing w:val="-10"/>
          <w:sz w:val="24"/>
        </w:rPr>
        <w:t> </w:t>
      </w:r>
      <w:r>
        <w:rPr>
          <w:sz w:val="24"/>
        </w:rPr>
        <w:t>le</w:t>
      </w:r>
      <w:r>
        <w:rPr>
          <w:spacing w:val="-10"/>
          <w:sz w:val="24"/>
        </w:rPr>
        <w:t> </w:t>
      </w:r>
      <w:r>
        <w:rPr>
          <w:sz w:val="24"/>
        </w:rPr>
        <w:t>due</w:t>
      </w:r>
      <w:r>
        <w:rPr>
          <w:spacing w:val="-11"/>
          <w:sz w:val="24"/>
        </w:rPr>
        <w:t> </w:t>
      </w:r>
      <w:r>
        <w:rPr>
          <w:sz w:val="24"/>
        </w:rPr>
        <w:t>distinte</w:t>
      </w:r>
      <w:r>
        <w:rPr>
          <w:spacing w:val="-12"/>
          <w:sz w:val="24"/>
        </w:rPr>
        <w:t> </w:t>
      </w:r>
      <w:r>
        <w:rPr>
          <w:sz w:val="24"/>
        </w:rPr>
        <w:t>azioni e sarà pubblicato l’elenco delle scuole, con candidatura regolare, ammesse al finanziamento. Qualora dovessero rendersi disponibili ulteriori risorse, si procederà all’ammissione al finanziamento delle Istituzioni scolastiche utilmente collocate in graduatoria, tenuto conto della dotazione finanziaria disponibile.</w:t>
      </w:r>
    </w:p>
    <w:p>
      <w:pPr>
        <w:pStyle w:val="ListParagraph"/>
        <w:numPr>
          <w:ilvl w:val="0"/>
          <w:numId w:val="9"/>
        </w:numPr>
        <w:tabs>
          <w:tab w:pos="397" w:val="left" w:leader="none"/>
        </w:tabs>
        <w:spacing w:line="240" w:lineRule="auto" w:before="0" w:after="0"/>
        <w:ind w:left="396" w:right="151" w:hanging="284"/>
        <w:jc w:val="both"/>
        <w:rPr>
          <w:sz w:val="24"/>
        </w:rPr>
      </w:pPr>
      <w:r>
        <w:rPr>
          <w:sz w:val="24"/>
        </w:rPr>
        <w:t>Qualora, dopo la scadenza per la presentazione delle candidature di cui all’articolo 5, comma 3, e in seguito a eventuali scorrimenti delle graduatorie di cui al precedente comma, residuassero risorse ancora da assegnare per la misura in oggetto, l’Autorità di gestione potrà definire una nuova finestra di apertura dello “sportello”, riservata alle istituzioni scolastiche statali non finanziate durante la fase precedente.</w:t>
      </w:r>
    </w:p>
    <w:p>
      <w:pPr>
        <w:pStyle w:val="BodyText"/>
        <w:spacing w:before="10"/>
        <w:rPr>
          <w:sz w:val="21"/>
        </w:rPr>
      </w:pPr>
    </w:p>
    <w:p>
      <w:pPr>
        <w:pStyle w:val="Heading2"/>
      </w:pPr>
      <w:r>
        <w:rPr>
          <w:color w:val="006FC0"/>
        </w:rPr>
        <w:t>Art. 9 – Informazioni generali</w:t>
      </w:r>
    </w:p>
    <w:p>
      <w:pPr>
        <w:pStyle w:val="ListParagraph"/>
        <w:numPr>
          <w:ilvl w:val="0"/>
          <w:numId w:val="10"/>
        </w:numPr>
        <w:tabs>
          <w:tab w:pos="397" w:val="left" w:leader="none"/>
        </w:tabs>
        <w:spacing w:line="240" w:lineRule="auto" w:before="1" w:after="0"/>
        <w:ind w:left="396" w:right="150" w:hanging="284"/>
        <w:jc w:val="both"/>
        <w:rPr>
          <w:sz w:val="24"/>
        </w:rPr>
      </w:pPr>
      <w:r>
        <w:rPr>
          <w:sz w:val="24"/>
        </w:rPr>
        <w:t>I dati contenuti nelle varie proposte saranno trattati secondo quanto previsto dal decreto legislativo 10</w:t>
      </w:r>
      <w:r>
        <w:rPr>
          <w:spacing w:val="-11"/>
          <w:sz w:val="24"/>
        </w:rPr>
        <w:t> </w:t>
      </w:r>
      <w:r>
        <w:rPr>
          <w:sz w:val="24"/>
        </w:rPr>
        <w:t>agosto</w:t>
      </w:r>
      <w:r>
        <w:rPr>
          <w:spacing w:val="-11"/>
          <w:sz w:val="24"/>
        </w:rPr>
        <w:t> </w:t>
      </w:r>
      <w:r>
        <w:rPr>
          <w:sz w:val="24"/>
        </w:rPr>
        <w:t>2018,</w:t>
      </w:r>
      <w:r>
        <w:rPr>
          <w:spacing w:val="-11"/>
          <w:sz w:val="24"/>
        </w:rPr>
        <w:t> </w:t>
      </w:r>
      <w:r>
        <w:rPr>
          <w:sz w:val="24"/>
        </w:rPr>
        <w:t>n.</w:t>
      </w:r>
      <w:r>
        <w:rPr>
          <w:spacing w:val="-11"/>
          <w:sz w:val="24"/>
        </w:rPr>
        <w:t> </w:t>
      </w:r>
      <w:r>
        <w:rPr>
          <w:sz w:val="24"/>
        </w:rPr>
        <w:t>101.</w:t>
      </w:r>
      <w:r>
        <w:rPr>
          <w:spacing w:val="-11"/>
          <w:sz w:val="24"/>
        </w:rPr>
        <w:t> </w:t>
      </w:r>
      <w:r>
        <w:rPr>
          <w:sz w:val="24"/>
        </w:rPr>
        <w:t>Il</w:t>
      </w:r>
      <w:r>
        <w:rPr>
          <w:spacing w:val="-11"/>
          <w:sz w:val="24"/>
        </w:rPr>
        <w:t> </w:t>
      </w:r>
      <w:r>
        <w:rPr>
          <w:sz w:val="24"/>
        </w:rPr>
        <w:t>Responsabile</w:t>
      </w:r>
      <w:r>
        <w:rPr>
          <w:spacing w:val="-10"/>
          <w:sz w:val="24"/>
        </w:rPr>
        <w:t> </w:t>
      </w:r>
      <w:r>
        <w:rPr>
          <w:sz w:val="24"/>
        </w:rPr>
        <w:t>del</w:t>
      </w:r>
      <w:r>
        <w:rPr>
          <w:spacing w:val="-10"/>
          <w:sz w:val="24"/>
        </w:rPr>
        <w:t> </w:t>
      </w:r>
      <w:r>
        <w:rPr>
          <w:sz w:val="24"/>
        </w:rPr>
        <w:t>trattamento</w:t>
      </w:r>
      <w:r>
        <w:rPr>
          <w:spacing w:val="-12"/>
          <w:sz w:val="24"/>
        </w:rPr>
        <w:t> </w:t>
      </w:r>
      <w:r>
        <w:rPr>
          <w:sz w:val="24"/>
        </w:rPr>
        <w:t>dei</w:t>
      </w:r>
      <w:r>
        <w:rPr>
          <w:spacing w:val="-10"/>
          <w:sz w:val="24"/>
        </w:rPr>
        <w:t> </w:t>
      </w:r>
      <w:r>
        <w:rPr>
          <w:sz w:val="24"/>
        </w:rPr>
        <w:t>dati</w:t>
      </w:r>
      <w:r>
        <w:rPr>
          <w:spacing w:val="-11"/>
          <w:sz w:val="24"/>
        </w:rPr>
        <w:t> </w:t>
      </w:r>
      <w:r>
        <w:rPr>
          <w:sz w:val="24"/>
        </w:rPr>
        <w:t>è</w:t>
      </w:r>
      <w:r>
        <w:rPr>
          <w:spacing w:val="-10"/>
          <w:sz w:val="24"/>
        </w:rPr>
        <w:t> </w:t>
      </w:r>
      <w:r>
        <w:rPr>
          <w:sz w:val="24"/>
        </w:rPr>
        <w:t>l’Ufficio</w:t>
      </w:r>
      <w:r>
        <w:rPr>
          <w:spacing w:val="-10"/>
          <w:sz w:val="24"/>
        </w:rPr>
        <w:t> </w:t>
      </w:r>
      <w:r>
        <w:rPr>
          <w:sz w:val="24"/>
        </w:rPr>
        <w:t>IV</w:t>
      </w:r>
      <w:r>
        <w:rPr>
          <w:spacing w:val="-11"/>
          <w:sz w:val="24"/>
        </w:rPr>
        <w:t> </w:t>
      </w:r>
      <w:r>
        <w:rPr>
          <w:sz w:val="24"/>
        </w:rPr>
        <w:t>della</w:t>
      </w:r>
      <w:r>
        <w:rPr>
          <w:spacing w:val="-10"/>
          <w:sz w:val="24"/>
        </w:rPr>
        <w:t> </w:t>
      </w:r>
      <w:r>
        <w:rPr>
          <w:sz w:val="24"/>
        </w:rPr>
        <w:t>Direzione</w:t>
      </w:r>
      <w:r>
        <w:rPr>
          <w:spacing w:val="-10"/>
          <w:sz w:val="24"/>
        </w:rPr>
        <w:t> </w:t>
      </w:r>
      <w:r>
        <w:rPr>
          <w:sz w:val="24"/>
        </w:rPr>
        <w:t>Generale per i fondi strutturali per l’istruzione, l’edilizia scolastica e la scuola</w:t>
      </w:r>
      <w:r>
        <w:rPr>
          <w:spacing w:val="-9"/>
          <w:sz w:val="24"/>
        </w:rPr>
        <w:t> </w:t>
      </w:r>
      <w:r>
        <w:rPr>
          <w:sz w:val="24"/>
        </w:rPr>
        <w:t>digitale.</w:t>
      </w:r>
    </w:p>
    <w:p>
      <w:pPr>
        <w:pStyle w:val="ListParagraph"/>
        <w:numPr>
          <w:ilvl w:val="0"/>
          <w:numId w:val="10"/>
        </w:numPr>
        <w:tabs>
          <w:tab w:pos="397" w:val="left" w:leader="none"/>
        </w:tabs>
        <w:spacing w:line="240" w:lineRule="auto" w:before="0" w:after="0"/>
        <w:ind w:left="396" w:right="156" w:hanging="284"/>
        <w:jc w:val="both"/>
        <w:rPr>
          <w:sz w:val="24"/>
        </w:rPr>
      </w:pPr>
      <w:r>
        <w:rPr>
          <w:sz w:val="24"/>
        </w:rPr>
        <w:t>Responsabile</w:t>
      </w:r>
      <w:r>
        <w:rPr>
          <w:spacing w:val="-16"/>
          <w:sz w:val="24"/>
        </w:rPr>
        <w:t> </w:t>
      </w:r>
      <w:r>
        <w:rPr>
          <w:sz w:val="24"/>
        </w:rPr>
        <w:t>del</w:t>
      </w:r>
      <w:r>
        <w:rPr>
          <w:spacing w:val="-16"/>
          <w:sz w:val="24"/>
        </w:rPr>
        <w:t> </w:t>
      </w:r>
      <w:r>
        <w:rPr>
          <w:sz w:val="24"/>
        </w:rPr>
        <w:t>procedimento</w:t>
      </w:r>
      <w:r>
        <w:rPr>
          <w:spacing w:val="-16"/>
          <w:sz w:val="24"/>
        </w:rPr>
        <w:t> </w:t>
      </w:r>
      <w:r>
        <w:rPr>
          <w:sz w:val="24"/>
        </w:rPr>
        <w:t>è</w:t>
      </w:r>
      <w:r>
        <w:rPr>
          <w:spacing w:val="-16"/>
          <w:sz w:val="24"/>
        </w:rPr>
        <w:t> </w:t>
      </w:r>
      <w:r>
        <w:rPr>
          <w:sz w:val="24"/>
        </w:rPr>
        <w:t>la</w:t>
      </w:r>
      <w:r>
        <w:rPr>
          <w:spacing w:val="-15"/>
          <w:sz w:val="24"/>
        </w:rPr>
        <w:t> </w:t>
      </w:r>
      <w:r>
        <w:rPr>
          <w:sz w:val="24"/>
        </w:rPr>
        <w:t>dott.ssa</w:t>
      </w:r>
      <w:r>
        <w:rPr>
          <w:spacing w:val="-18"/>
          <w:sz w:val="24"/>
        </w:rPr>
        <w:t> </w:t>
      </w:r>
      <w:r>
        <w:rPr>
          <w:sz w:val="24"/>
        </w:rPr>
        <w:t>Simona</w:t>
      </w:r>
      <w:r>
        <w:rPr>
          <w:spacing w:val="-18"/>
          <w:sz w:val="24"/>
        </w:rPr>
        <w:t> </w:t>
      </w:r>
      <w:r>
        <w:rPr>
          <w:sz w:val="24"/>
        </w:rPr>
        <w:t>Montesarchio,</w:t>
      </w:r>
      <w:r>
        <w:rPr>
          <w:spacing w:val="-19"/>
          <w:sz w:val="24"/>
        </w:rPr>
        <w:t> </w:t>
      </w:r>
      <w:r>
        <w:rPr>
          <w:sz w:val="24"/>
        </w:rPr>
        <w:t>Direttore</w:t>
      </w:r>
      <w:r>
        <w:rPr>
          <w:spacing w:val="-17"/>
          <w:sz w:val="24"/>
        </w:rPr>
        <w:t> </w:t>
      </w:r>
      <w:r>
        <w:rPr>
          <w:sz w:val="24"/>
        </w:rPr>
        <w:t>della</w:t>
      </w:r>
      <w:r>
        <w:rPr>
          <w:spacing w:val="-16"/>
          <w:sz w:val="24"/>
        </w:rPr>
        <w:t> </w:t>
      </w:r>
      <w:r>
        <w:rPr>
          <w:sz w:val="24"/>
        </w:rPr>
        <w:t>Direzione</w:t>
      </w:r>
      <w:r>
        <w:rPr>
          <w:spacing w:val="-18"/>
          <w:sz w:val="24"/>
        </w:rPr>
        <w:t> </w:t>
      </w:r>
      <w:r>
        <w:rPr>
          <w:sz w:val="24"/>
        </w:rPr>
        <w:t>Generale per i fondi strutturali per l’istruzione, l’edilizia scolastica e la scuola digitale del Ministero dell’istruzione.</w:t>
      </w:r>
    </w:p>
    <w:p>
      <w:pPr>
        <w:pStyle w:val="ListParagraph"/>
        <w:numPr>
          <w:ilvl w:val="0"/>
          <w:numId w:val="10"/>
        </w:numPr>
        <w:tabs>
          <w:tab w:pos="397" w:val="left" w:leader="none"/>
        </w:tabs>
        <w:spacing w:line="269" w:lineRule="exact" w:before="0" w:after="0"/>
        <w:ind w:left="396" w:right="0" w:hanging="284"/>
        <w:jc w:val="left"/>
        <w:rPr>
          <w:i/>
          <w:sz w:val="24"/>
        </w:rPr>
      </w:pPr>
      <w:r>
        <w:rPr>
          <w:sz w:val="24"/>
        </w:rPr>
        <w:t>Informazioni</w:t>
      </w:r>
      <w:r>
        <w:rPr>
          <w:spacing w:val="30"/>
          <w:sz w:val="24"/>
        </w:rPr>
        <w:t> </w:t>
      </w:r>
      <w:r>
        <w:rPr>
          <w:sz w:val="24"/>
        </w:rPr>
        <w:t>e</w:t>
      </w:r>
      <w:r>
        <w:rPr>
          <w:spacing w:val="32"/>
          <w:sz w:val="24"/>
        </w:rPr>
        <w:t> </w:t>
      </w:r>
      <w:r>
        <w:rPr>
          <w:sz w:val="24"/>
        </w:rPr>
        <w:t>chiarimenti</w:t>
      </w:r>
      <w:r>
        <w:rPr>
          <w:spacing w:val="31"/>
          <w:sz w:val="24"/>
        </w:rPr>
        <w:t> </w:t>
      </w:r>
      <w:r>
        <w:rPr>
          <w:sz w:val="24"/>
        </w:rPr>
        <w:t>devono</w:t>
      </w:r>
      <w:r>
        <w:rPr>
          <w:spacing w:val="31"/>
          <w:sz w:val="24"/>
        </w:rPr>
        <w:t> </w:t>
      </w:r>
      <w:r>
        <w:rPr>
          <w:sz w:val="24"/>
        </w:rPr>
        <w:t>essere</w:t>
      </w:r>
      <w:r>
        <w:rPr>
          <w:spacing w:val="31"/>
          <w:sz w:val="24"/>
        </w:rPr>
        <w:t> </w:t>
      </w:r>
      <w:r>
        <w:rPr>
          <w:sz w:val="24"/>
        </w:rPr>
        <w:t>richiesti</w:t>
      </w:r>
      <w:r>
        <w:rPr>
          <w:spacing w:val="27"/>
          <w:sz w:val="24"/>
        </w:rPr>
        <w:t> </w:t>
      </w:r>
      <w:r>
        <w:rPr>
          <w:sz w:val="24"/>
        </w:rPr>
        <w:t>esclusivamente</w:t>
      </w:r>
      <w:r>
        <w:rPr>
          <w:spacing w:val="32"/>
          <w:sz w:val="24"/>
        </w:rPr>
        <w:t> </w:t>
      </w:r>
      <w:r>
        <w:rPr>
          <w:sz w:val="24"/>
        </w:rPr>
        <w:t>attraverso</w:t>
      </w:r>
      <w:r>
        <w:rPr>
          <w:spacing w:val="31"/>
          <w:sz w:val="24"/>
        </w:rPr>
        <w:t> </w:t>
      </w:r>
      <w:r>
        <w:rPr>
          <w:sz w:val="24"/>
        </w:rPr>
        <w:t>il</w:t>
      </w:r>
      <w:r>
        <w:rPr>
          <w:spacing w:val="30"/>
          <w:sz w:val="24"/>
        </w:rPr>
        <w:t> </w:t>
      </w:r>
      <w:r>
        <w:rPr>
          <w:sz w:val="24"/>
        </w:rPr>
        <w:t>servizio</w:t>
      </w:r>
      <w:r>
        <w:rPr>
          <w:spacing w:val="31"/>
          <w:sz w:val="24"/>
        </w:rPr>
        <w:t> </w:t>
      </w:r>
      <w:r>
        <w:rPr>
          <w:sz w:val="24"/>
        </w:rPr>
        <w:t>di</w:t>
      </w:r>
      <w:r>
        <w:rPr>
          <w:spacing w:val="35"/>
          <w:sz w:val="24"/>
        </w:rPr>
        <w:t> </w:t>
      </w:r>
      <w:r>
        <w:rPr>
          <w:i/>
          <w:sz w:val="24"/>
        </w:rPr>
        <w:t>ticketing</w:t>
      </w:r>
    </w:p>
    <w:p>
      <w:pPr>
        <w:pStyle w:val="BodyText"/>
        <w:spacing w:line="269" w:lineRule="exact"/>
        <w:ind w:left="396"/>
      </w:pPr>
      <w:r>
        <w:rPr/>
        <w:t>accessibile attraverso il sistema GPU. Non sarà data risposta a quesiti pervenuti con altri mezzi.</w:t>
      </w:r>
    </w:p>
    <w:p>
      <w:pPr>
        <w:pStyle w:val="BodyText"/>
        <w:spacing w:before="10"/>
        <w:rPr>
          <w:sz w:val="21"/>
        </w:rPr>
      </w:pPr>
    </w:p>
    <w:p>
      <w:pPr>
        <w:spacing w:line="270" w:lineRule="exact" w:before="0"/>
        <w:ind w:left="5056" w:right="105" w:firstLine="0"/>
        <w:jc w:val="center"/>
        <w:rPr>
          <w:sz w:val="19"/>
        </w:rPr>
      </w:pPr>
      <w:r>
        <w:rPr>
          <w:sz w:val="24"/>
        </w:rPr>
        <w:t>I</w:t>
      </w:r>
      <w:r>
        <w:rPr>
          <w:sz w:val="19"/>
        </w:rPr>
        <w:t>L </w:t>
      </w:r>
      <w:r>
        <w:rPr>
          <w:sz w:val="24"/>
        </w:rPr>
        <w:t>D</w:t>
      </w:r>
      <w:r>
        <w:rPr>
          <w:sz w:val="19"/>
        </w:rPr>
        <w:t>IRETTORE </w:t>
      </w:r>
      <w:r>
        <w:rPr>
          <w:sz w:val="24"/>
        </w:rPr>
        <w:t>G</w:t>
      </w:r>
      <w:r>
        <w:rPr>
          <w:sz w:val="19"/>
        </w:rPr>
        <w:t>ENERALE</w:t>
      </w:r>
    </w:p>
    <w:p>
      <w:pPr>
        <w:spacing w:line="270" w:lineRule="exact" w:before="0"/>
        <w:ind w:left="5059" w:right="105" w:firstLine="0"/>
        <w:jc w:val="center"/>
        <w:rPr>
          <w:i/>
          <w:sz w:val="24"/>
        </w:rPr>
      </w:pPr>
      <w:r>
        <w:rPr>
          <w:i/>
          <w:sz w:val="24"/>
        </w:rPr>
        <w:t>Simona Montesarchio</w:t>
      </w:r>
    </w:p>
    <w:p>
      <w:pPr>
        <w:pStyle w:val="BodyText"/>
        <w:rPr>
          <w:i/>
          <w:sz w:val="9"/>
        </w:rPr>
      </w:pPr>
      <w:r>
        <w:rPr/>
        <w:pict>
          <v:group style="position:absolute;margin-left:359.690002pt;margin-top:7.520258pt;width:115.4pt;height:46.7pt;mso-position-horizontal-relative:page;mso-position-vertical-relative:paragraph;z-index:-784;mso-wrap-distance-left:0;mso-wrap-distance-right:0" coordorigin="7194,150" coordsize="2308,934">
            <v:shape style="position:absolute;left:7405;top:150;width:2096;height:306" type="#_x0000_t75" stroked="false">
              <v:imagedata r:id="rId15" o:title=""/>
            </v:shape>
            <v:shape style="position:absolute;left:7193;top:466;width:620;height:611" type="#_x0000_t75" stroked="false">
              <v:imagedata r:id="rId16" o:title=""/>
            </v:shape>
            <v:shape style="position:absolute;left:7803;top:452;width:1445;height:169" type="#_x0000_t202" filled="false" stroked="false">
              <v:textbox inset="0,0,0,0">
                <w:txbxContent>
                  <w:p>
                    <w:pPr>
                      <w:spacing w:line="168" w:lineRule="exact" w:before="0"/>
                      <w:ind w:left="0" w:right="0" w:firstLine="0"/>
                      <w:jc w:val="left"/>
                      <w:rPr>
                        <w:rFonts w:ascii="Arial Black"/>
                        <w:sz w:val="13"/>
                      </w:rPr>
                    </w:pPr>
                    <w:r>
                      <w:rPr>
                        <w:rFonts w:ascii="Arial Black"/>
                        <w:w w:val="85"/>
                        <w:sz w:val="13"/>
                      </w:rPr>
                      <w:t>Firmato digitalmente</w:t>
                    </w:r>
                    <w:r>
                      <w:rPr>
                        <w:rFonts w:ascii="Arial Black"/>
                        <w:spacing w:val="-19"/>
                        <w:w w:val="85"/>
                        <w:sz w:val="13"/>
                      </w:rPr>
                      <w:t> </w:t>
                    </w:r>
                    <w:r>
                      <w:rPr>
                        <w:rFonts w:ascii="Arial Black"/>
                        <w:w w:val="85"/>
                        <w:sz w:val="13"/>
                      </w:rPr>
                      <w:t>da</w:t>
                    </w:r>
                  </w:p>
                </w:txbxContent>
              </v:textbox>
              <w10:wrap type="none"/>
            </v:shape>
            <v:shape style="position:absolute;left:7803;top:586;width:1633;height:169" type="#_x0000_t202" filled="false" stroked="false">
              <v:textbox inset="0,0,0,0">
                <w:txbxContent>
                  <w:p>
                    <w:pPr>
                      <w:spacing w:line="168" w:lineRule="exact" w:before="0"/>
                      <w:ind w:left="0" w:right="0" w:firstLine="0"/>
                      <w:jc w:val="left"/>
                      <w:rPr>
                        <w:rFonts w:ascii="Arial Black"/>
                        <w:sz w:val="13"/>
                      </w:rPr>
                    </w:pPr>
                    <w:r>
                      <w:rPr>
                        <w:rFonts w:ascii="Arial Black"/>
                        <w:w w:val="90"/>
                        <w:sz w:val="13"/>
                      </w:rPr>
                      <w:t>MONTESARCHIO</w:t>
                    </w:r>
                    <w:r>
                      <w:rPr>
                        <w:rFonts w:ascii="Arial Black"/>
                        <w:spacing w:val="-17"/>
                        <w:w w:val="90"/>
                        <w:sz w:val="13"/>
                      </w:rPr>
                      <w:t> </w:t>
                    </w:r>
                    <w:r>
                      <w:rPr>
                        <w:rFonts w:ascii="Arial Black"/>
                        <w:w w:val="90"/>
                        <w:sz w:val="13"/>
                      </w:rPr>
                      <w:t>SIMONA</w:t>
                    </w:r>
                  </w:p>
                </w:txbxContent>
              </v:textbox>
              <w10:wrap type="none"/>
            </v:shape>
            <v:shape style="position:absolute;left:7806;top:696;width:351;height:169" type="#_x0000_t202" filled="false" stroked="false">
              <v:textbox inset="0,0,0,0">
                <w:txbxContent>
                  <w:p>
                    <w:pPr>
                      <w:spacing w:line="168" w:lineRule="exact" w:before="0"/>
                      <w:ind w:left="0" w:right="0" w:firstLine="0"/>
                      <w:jc w:val="left"/>
                      <w:rPr>
                        <w:rFonts w:ascii="Arial Black"/>
                        <w:sz w:val="13"/>
                      </w:rPr>
                    </w:pPr>
                    <w:r>
                      <w:rPr>
                        <w:rFonts w:ascii="Arial Black"/>
                        <w:sz w:val="13"/>
                      </w:rPr>
                      <w:t>C=IT</w:t>
                    </w:r>
                  </w:p>
                </w:txbxContent>
              </v:textbox>
              <w10:wrap type="none"/>
            </v:shape>
            <v:shape style="position:absolute;left:7803;top:916;width:1139;height:169" type="#_x0000_t202" filled="false" stroked="false">
              <v:textbox inset="0,0,0,0">
                <w:txbxContent>
                  <w:p>
                    <w:pPr>
                      <w:spacing w:line="168" w:lineRule="exact" w:before="0"/>
                      <w:ind w:left="0" w:right="0" w:firstLine="0"/>
                      <w:jc w:val="left"/>
                      <w:rPr>
                        <w:rFonts w:ascii="Arial Black"/>
                        <w:sz w:val="13"/>
                      </w:rPr>
                    </w:pPr>
                    <w:r>
                      <w:rPr>
                        <w:rFonts w:ascii="Arial Black"/>
                        <w:w w:val="85"/>
                        <w:sz w:val="13"/>
                      </w:rPr>
                      <w:t>DELL'ISTRUZIONE</w:t>
                    </w:r>
                  </w:p>
                </w:txbxContent>
              </v:textbox>
              <w10:wrap type="none"/>
            </v:shape>
            <v:shape style="position:absolute;left:7806;top:806;width:953;height:169" type="#_x0000_t202" filled="false" stroked="false">
              <v:textbox inset="0,0,0,0">
                <w:txbxContent>
                  <w:p>
                    <w:pPr>
                      <w:spacing w:line="168" w:lineRule="exact" w:before="0"/>
                      <w:ind w:left="0" w:right="0" w:firstLine="0"/>
                      <w:jc w:val="left"/>
                      <w:rPr>
                        <w:rFonts w:ascii="Arial Black"/>
                        <w:sz w:val="13"/>
                      </w:rPr>
                    </w:pPr>
                    <w:r>
                      <w:rPr>
                        <w:rFonts w:ascii="Arial Black"/>
                        <w:w w:val="90"/>
                        <w:sz w:val="13"/>
                      </w:rPr>
                      <w:t>O=MINISTERO</w:t>
                    </w:r>
                  </w:p>
                </w:txbxContent>
              </v:textbox>
              <w10:wrap type="none"/>
            </v:shape>
            <w10:wrap type="topAndBottom"/>
          </v:group>
        </w:pict>
      </w:r>
    </w:p>
    <w:sectPr>
      <w:pgSz w:w="11910" w:h="16840"/>
      <w:pgMar w:header="653" w:footer="514" w:top="1480" w:bottom="720" w:left="1020" w:right="9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 w:name="Book Antiqua">
    <w:altName w:val="Book Antiqua"/>
    <w:charset w:val="0"/>
    <w:family w:val="roman"/>
    <w:pitch w:val="variable"/>
  </w:font>
  <w:font w:name="Garamond">
    <w:altName w:val="Garamond"/>
    <w:charset w:val="0"/>
    <w:family w:val="roman"/>
    <w:pitch w:val="variable"/>
  </w:font>
  <w:font w:name="Arial Black">
    <w:altName w:val="Arial Black"/>
    <w:charset w:val="0"/>
    <w:family w:val="swiss"/>
    <w:pitch w:val="variable"/>
  </w:font>
  <w:font w:name="Corbel">
    <w:altName w:val="Corbel"/>
    <w:charset w:val="0"/>
    <w:family w:val="swiss"/>
    <w:pitch w:val="variable"/>
  </w:font>
  <w:font w:name="Symbol">
    <w:altName w:val="Symbol"/>
    <w:charset w:val="2"/>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1.380005pt;margin-top:804.329224pt;width:9.3pt;height:12pt;mso-position-horizontal-relative:page;mso-position-vertical-relative:page;z-index:-9520" type="#_x0000_t202" filled="false" stroked="false">
          <v:textbox inset="0,0,0,0">
            <w:txbxContent>
              <w:p>
                <w:pPr>
                  <w:spacing w:line="222" w:lineRule="exact" w:before="0"/>
                  <w:ind w:left="40" w:right="0" w:firstLine="0"/>
                  <w:jc w:val="left"/>
                  <w:rPr>
                    <w:rFonts w:ascii="Corbel"/>
                    <w:sz w:val="20"/>
                  </w:rPr>
                </w:pPr>
                <w:r>
                  <w:rPr/>
                  <w:fldChar w:fldCharType="begin"/>
                </w:r>
                <w:r>
                  <w:rPr>
                    <w:rFonts w:ascii="Corbel"/>
                    <w:w w:val="99"/>
                    <w:sz w:val="20"/>
                  </w:rPr>
                  <w:instrText> PAGE </w:instrText>
                </w:r>
                <w:r>
                  <w:rPr/>
                  <w:fldChar w:fldCharType="separate"/>
                </w:r>
                <w:r>
                  <w:rPr/>
                  <w:t>6</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25959">
          <wp:simplePos x="0" y="0"/>
          <wp:positionH relativeFrom="page">
            <wp:posOffset>788669</wp:posOffset>
          </wp:positionH>
          <wp:positionV relativeFrom="page">
            <wp:posOffset>414654</wp:posOffset>
          </wp:positionV>
          <wp:extent cx="2225040" cy="536575"/>
          <wp:effectExtent l="0" t="0" r="0" b="0"/>
          <wp:wrapNone/>
          <wp:docPr id="7" name="image2.png" descr=""/>
          <wp:cNvGraphicFramePr>
            <a:graphicFrameLocks noChangeAspect="1"/>
          </wp:cNvGraphicFramePr>
          <a:graphic>
            <a:graphicData uri="http://schemas.openxmlformats.org/drawingml/2006/picture">
              <pic:pic>
                <pic:nvPicPr>
                  <pic:cNvPr id="8" name="image2.png"/>
                  <pic:cNvPicPr/>
                </pic:nvPicPr>
                <pic:blipFill>
                  <a:blip r:embed="rId1" cstate="print"/>
                  <a:stretch>
                    <a:fillRect/>
                  </a:stretch>
                </pic:blipFill>
                <pic:spPr>
                  <a:xfrm>
                    <a:off x="0" y="0"/>
                    <a:ext cx="2225040" cy="536575"/>
                  </a:xfrm>
                  <a:prstGeom prst="rect">
                    <a:avLst/>
                  </a:prstGeom>
                </pic:spPr>
              </pic:pic>
            </a:graphicData>
          </a:graphic>
        </wp:anchor>
      </w:drawing>
    </w:r>
    <w:r>
      <w:rPr/>
      <w:drawing>
        <wp:anchor distT="0" distB="0" distL="0" distR="0" allowOverlap="1" layoutInCell="1" locked="0" behindDoc="1" simplePos="0" relativeHeight="268425983">
          <wp:simplePos x="0" y="0"/>
          <wp:positionH relativeFrom="page">
            <wp:posOffset>5859837</wp:posOffset>
          </wp:positionH>
          <wp:positionV relativeFrom="page">
            <wp:posOffset>414654</wp:posOffset>
          </wp:positionV>
          <wp:extent cx="821506" cy="482600"/>
          <wp:effectExtent l="0" t="0" r="0" b="0"/>
          <wp:wrapNone/>
          <wp:docPr id="9" name="image3.jpeg" descr=""/>
          <wp:cNvGraphicFramePr>
            <a:graphicFrameLocks noChangeAspect="1"/>
          </wp:cNvGraphicFramePr>
          <a:graphic>
            <a:graphicData uri="http://schemas.openxmlformats.org/drawingml/2006/picture">
              <pic:pic>
                <pic:nvPicPr>
                  <pic:cNvPr id="10" name="image3.jpeg"/>
                  <pic:cNvPicPr/>
                </pic:nvPicPr>
                <pic:blipFill>
                  <a:blip r:embed="rId2" cstate="print"/>
                  <a:stretch>
                    <a:fillRect/>
                  </a:stretch>
                </pic:blipFill>
                <pic:spPr>
                  <a:xfrm>
                    <a:off x="0" y="0"/>
                    <a:ext cx="821506" cy="4826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396" w:hanging="284"/>
        <w:jc w:val="left"/>
      </w:pPr>
      <w:rPr>
        <w:rFonts w:hint="default" w:ascii="Garamond" w:hAnsi="Garamond" w:eastAsia="Garamond" w:cs="Garamond"/>
        <w:spacing w:val="-11"/>
        <w:w w:val="100"/>
        <w:sz w:val="24"/>
        <w:szCs w:val="24"/>
        <w:lang w:val="it-IT" w:eastAsia="it-IT" w:bidi="it-IT"/>
      </w:rPr>
    </w:lvl>
    <w:lvl w:ilvl="1">
      <w:start w:val="0"/>
      <w:numFmt w:val="bullet"/>
      <w:lvlText w:val="•"/>
      <w:lvlJc w:val="left"/>
      <w:pPr>
        <w:ind w:left="1350" w:hanging="284"/>
      </w:pPr>
      <w:rPr>
        <w:rFonts w:hint="default"/>
        <w:lang w:val="it-IT" w:eastAsia="it-IT" w:bidi="it-IT"/>
      </w:rPr>
    </w:lvl>
    <w:lvl w:ilvl="2">
      <w:start w:val="0"/>
      <w:numFmt w:val="bullet"/>
      <w:lvlText w:val="•"/>
      <w:lvlJc w:val="left"/>
      <w:pPr>
        <w:ind w:left="2301" w:hanging="284"/>
      </w:pPr>
      <w:rPr>
        <w:rFonts w:hint="default"/>
        <w:lang w:val="it-IT" w:eastAsia="it-IT" w:bidi="it-IT"/>
      </w:rPr>
    </w:lvl>
    <w:lvl w:ilvl="3">
      <w:start w:val="0"/>
      <w:numFmt w:val="bullet"/>
      <w:lvlText w:val="•"/>
      <w:lvlJc w:val="left"/>
      <w:pPr>
        <w:ind w:left="3251" w:hanging="284"/>
      </w:pPr>
      <w:rPr>
        <w:rFonts w:hint="default"/>
        <w:lang w:val="it-IT" w:eastAsia="it-IT" w:bidi="it-IT"/>
      </w:rPr>
    </w:lvl>
    <w:lvl w:ilvl="4">
      <w:start w:val="0"/>
      <w:numFmt w:val="bullet"/>
      <w:lvlText w:val="•"/>
      <w:lvlJc w:val="left"/>
      <w:pPr>
        <w:ind w:left="4202" w:hanging="284"/>
      </w:pPr>
      <w:rPr>
        <w:rFonts w:hint="default"/>
        <w:lang w:val="it-IT" w:eastAsia="it-IT" w:bidi="it-IT"/>
      </w:rPr>
    </w:lvl>
    <w:lvl w:ilvl="5">
      <w:start w:val="0"/>
      <w:numFmt w:val="bullet"/>
      <w:lvlText w:val="•"/>
      <w:lvlJc w:val="left"/>
      <w:pPr>
        <w:ind w:left="5153" w:hanging="284"/>
      </w:pPr>
      <w:rPr>
        <w:rFonts w:hint="default"/>
        <w:lang w:val="it-IT" w:eastAsia="it-IT" w:bidi="it-IT"/>
      </w:rPr>
    </w:lvl>
    <w:lvl w:ilvl="6">
      <w:start w:val="0"/>
      <w:numFmt w:val="bullet"/>
      <w:lvlText w:val="•"/>
      <w:lvlJc w:val="left"/>
      <w:pPr>
        <w:ind w:left="6103" w:hanging="284"/>
      </w:pPr>
      <w:rPr>
        <w:rFonts w:hint="default"/>
        <w:lang w:val="it-IT" w:eastAsia="it-IT" w:bidi="it-IT"/>
      </w:rPr>
    </w:lvl>
    <w:lvl w:ilvl="7">
      <w:start w:val="0"/>
      <w:numFmt w:val="bullet"/>
      <w:lvlText w:val="•"/>
      <w:lvlJc w:val="left"/>
      <w:pPr>
        <w:ind w:left="7054" w:hanging="284"/>
      </w:pPr>
      <w:rPr>
        <w:rFonts w:hint="default"/>
        <w:lang w:val="it-IT" w:eastAsia="it-IT" w:bidi="it-IT"/>
      </w:rPr>
    </w:lvl>
    <w:lvl w:ilvl="8">
      <w:start w:val="0"/>
      <w:numFmt w:val="bullet"/>
      <w:lvlText w:val="•"/>
      <w:lvlJc w:val="left"/>
      <w:pPr>
        <w:ind w:left="8005" w:hanging="284"/>
      </w:pPr>
      <w:rPr>
        <w:rFonts w:hint="default"/>
        <w:lang w:val="it-IT" w:eastAsia="it-IT" w:bidi="it-IT"/>
      </w:rPr>
    </w:lvl>
  </w:abstractNum>
  <w:abstractNum w:abstractNumId="8">
    <w:multiLevelType w:val="hybridMultilevel"/>
    <w:lvl w:ilvl="0">
      <w:start w:val="1"/>
      <w:numFmt w:val="decimal"/>
      <w:lvlText w:val="%1."/>
      <w:lvlJc w:val="left"/>
      <w:pPr>
        <w:ind w:left="396" w:hanging="284"/>
        <w:jc w:val="left"/>
      </w:pPr>
      <w:rPr>
        <w:rFonts w:hint="default" w:ascii="Garamond" w:hAnsi="Garamond" w:eastAsia="Garamond" w:cs="Garamond"/>
        <w:spacing w:val="-1"/>
        <w:w w:val="100"/>
        <w:sz w:val="22"/>
        <w:szCs w:val="22"/>
        <w:lang w:val="it-IT" w:eastAsia="it-IT" w:bidi="it-IT"/>
      </w:rPr>
    </w:lvl>
    <w:lvl w:ilvl="1">
      <w:start w:val="0"/>
      <w:numFmt w:val="bullet"/>
      <w:lvlText w:val="•"/>
      <w:lvlJc w:val="left"/>
      <w:pPr>
        <w:ind w:left="1350" w:hanging="284"/>
      </w:pPr>
      <w:rPr>
        <w:rFonts w:hint="default"/>
        <w:lang w:val="it-IT" w:eastAsia="it-IT" w:bidi="it-IT"/>
      </w:rPr>
    </w:lvl>
    <w:lvl w:ilvl="2">
      <w:start w:val="0"/>
      <w:numFmt w:val="bullet"/>
      <w:lvlText w:val="•"/>
      <w:lvlJc w:val="left"/>
      <w:pPr>
        <w:ind w:left="2301" w:hanging="284"/>
      </w:pPr>
      <w:rPr>
        <w:rFonts w:hint="default"/>
        <w:lang w:val="it-IT" w:eastAsia="it-IT" w:bidi="it-IT"/>
      </w:rPr>
    </w:lvl>
    <w:lvl w:ilvl="3">
      <w:start w:val="0"/>
      <w:numFmt w:val="bullet"/>
      <w:lvlText w:val="•"/>
      <w:lvlJc w:val="left"/>
      <w:pPr>
        <w:ind w:left="3251" w:hanging="284"/>
      </w:pPr>
      <w:rPr>
        <w:rFonts w:hint="default"/>
        <w:lang w:val="it-IT" w:eastAsia="it-IT" w:bidi="it-IT"/>
      </w:rPr>
    </w:lvl>
    <w:lvl w:ilvl="4">
      <w:start w:val="0"/>
      <w:numFmt w:val="bullet"/>
      <w:lvlText w:val="•"/>
      <w:lvlJc w:val="left"/>
      <w:pPr>
        <w:ind w:left="4202" w:hanging="284"/>
      </w:pPr>
      <w:rPr>
        <w:rFonts w:hint="default"/>
        <w:lang w:val="it-IT" w:eastAsia="it-IT" w:bidi="it-IT"/>
      </w:rPr>
    </w:lvl>
    <w:lvl w:ilvl="5">
      <w:start w:val="0"/>
      <w:numFmt w:val="bullet"/>
      <w:lvlText w:val="•"/>
      <w:lvlJc w:val="left"/>
      <w:pPr>
        <w:ind w:left="5153" w:hanging="284"/>
      </w:pPr>
      <w:rPr>
        <w:rFonts w:hint="default"/>
        <w:lang w:val="it-IT" w:eastAsia="it-IT" w:bidi="it-IT"/>
      </w:rPr>
    </w:lvl>
    <w:lvl w:ilvl="6">
      <w:start w:val="0"/>
      <w:numFmt w:val="bullet"/>
      <w:lvlText w:val="•"/>
      <w:lvlJc w:val="left"/>
      <w:pPr>
        <w:ind w:left="6103" w:hanging="284"/>
      </w:pPr>
      <w:rPr>
        <w:rFonts w:hint="default"/>
        <w:lang w:val="it-IT" w:eastAsia="it-IT" w:bidi="it-IT"/>
      </w:rPr>
    </w:lvl>
    <w:lvl w:ilvl="7">
      <w:start w:val="0"/>
      <w:numFmt w:val="bullet"/>
      <w:lvlText w:val="•"/>
      <w:lvlJc w:val="left"/>
      <w:pPr>
        <w:ind w:left="7054" w:hanging="284"/>
      </w:pPr>
      <w:rPr>
        <w:rFonts w:hint="default"/>
        <w:lang w:val="it-IT" w:eastAsia="it-IT" w:bidi="it-IT"/>
      </w:rPr>
    </w:lvl>
    <w:lvl w:ilvl="8">
      <w:start w:val="0"/>
      <w:numFmt w:val="bullet"/>
      <w:lvlText w:val="•"/>
      <w:lvlJc w:val="left"/>
      <w:pPr>
        <w:ind w:left="8005" w:hanging="284"/>
      </w:pPr>
      <w:rPr>
        <w:rFonts w:hint="default"/>
        <w:lang w:val="it-IT" w:eastAsia="it-IT" w:bidi="it-IT"/>
      </w:rPr>
    </w:lvl>
  </w:abstractNum>
  <w:abstractNum w:abstractNumId="7">
    <w:multiLevelType w:val="hybridMultilevel"/>
    <w:lvl w:ilvl="0">
      <w:start w:val="1"/>
      <w:numFmt w:val="decimal"/>
      <w:lvlText w:val="%1."/>
      <w:lvlJc w:val="left"/>
      <w:pPr>
        <w:ind w:left="396" w:hanging="284"/>
        <w:jc w:val="left"/>
      </w:pPr>
      <w:rPr>
        <w:rFonts w:hint="default" w:ascii="Garamond" w:hAnsi="Garamond" w:eastAsia="Garamond" w:cs="Garamond"/>
        <w:spacing w:val="-1"/>
        <w:w w:val="100"/>
        <w:sz w:val="22"/>
        <w:szCs w:val="22"/>
        <w:lang w:val="it-IT" w:eastAsia="it-IT" w:bidi="it-IT"/>
      </w:rPr>
    </w:lvl>
    <w:lvl w:ilvl="1">
      <w:start w:val="1"/>
      <w:numFmt w:val="lowerLetter"/>
      <w:lvlText w:val="%2."/>
      <w:lvlJc w:val="left"/>
      <w:pPr>
        <w:ind w:left="1193" w:hanging="360"/>
        <w:jc w:val="left"/>
      </w:pPr>
      <w:rPr>
        <w:rFonts w:hint="default" w:ascii="Garamond" w:hAnsi="Garamond" w:eastAsia="Garamond" w:cs="Garamond"/>
        <w:i/>
        <w:spacing w:val="-3"/>
        <w:w w:val="100"/>
        <w:sz w:val="24"/>
        <w:szCs w:val="24"/>
        <w:lang w:val="it-IT" w:eastAsia="it-IT" w:bidi="it-IT"/>
      </w:rPr>
    </w:lvl>
    <w:lvl w:ilvl="2">
      <w:start w:val="0"/>
      <w:numFmt w:val="bullet"/>
      <w:lvlText w:val="•"/>
      <w:lvlJc w:val="left"/>
      <w:pPr>
        <w:ind w:left="2167" w:hanging="360"/>
      </w:pPr>
      <w:rPr>
        <w:rFonts w:hint="default"/>
        <w:lang w:val="it-IT" w:eastAsia="it-IT" w:bidi="it-IT"/>
      </w:rPr>
    </w:lvl>
    <w:lvl w:ilvl="3">
      <w:start w:val="0"/>
      <w:numFmt w:val="bullet"/>
      <w:lvlText w:val="•"/>
      <w:lvlJc w:val="left"/>
      <w:pPr>
        <w:ind w:left="3134" w:hanging="360"/>
      </w:pPr>
      <w:rPr>
        <w:rFonts w:hint="default"/>
        <w:lang w:val="it-IT" w:eastAsia="it-IT" w:bidi="it-IT"/>
      </w:rPr>
    </w:lvl>
    <w:lvl w:ilvl="4">
      <w:start w:val="0"/>
      <w:numFmt w:val="bullet"/>
      <w:lvlText w:val="•"/>
      <w:lvlJc w:val="left"/>
      <w:pPr>
        <w:ind w:left="4102" w:hanging="360"/>
      </w:pPr>
      <w:rPr>
        <w:rFonts w:hint="default"/>
        <w:lang w:val="it-IT" w:eastAsia="it-IT" w:bidi="it-IT"/>
      </w:rPr>
    </w:lvl>
    <w:lvl w:ilvl="5">
      <w:start w:val="0"/>
      <w:numFmt w:val="bullet"/>
      <w:lvlText w:val="•"/>
      <w:lvlJc w:val="left"/>
      <w:pPr>
        <w:ind w:left="5069" w:hanging="360"/>
      </w:pPr>
      <w:rPr>
        <w:rFonts w:hint="default"/>
        <w:lang w:val="it-IT" w:eastAsia="it-IT" w:bidi="it-IT"/>
      </w:rPr>
    </w:lvl>
    <w:lvl w:ilvl="6">
      <w:start w:val="0"/>
      <w:numFmt w:val="bullet"/>
      <w:lvlText w:val="•"/>
      <w:lvlJc w:val="left"/>
      <w:pPr>
        <w:ind w:left="6036" w:hanging="360"/>
      </w:pPr>
      <w:rPr>
        <w:rFonts w:hint="default"/>
        <w:lang w:val="it-IT" w:eastAsia="it-IT" w:bidi="it-IT"/>
      </w:rPr>
    </w:lvl>
    <w:lvl w:ilvl="7">
      <w:start w:val="0"/>
      <w:numFmt w:val="bullet"/>
      <w:lvlText w:val="•"/>
      <w:lvlJc w:val="left"/>
      <w:pPr>
        <w:ind w:left="7004" w:hanging="360"/>
      </w:pPr>
      <w:rPr>
        <w:rFonts w:hint="default"/>
        <w:lang w:val="it-IT" w:eastAsia="it-IT" w:bidi="it-IT"/>
      </w:rPr>
    </w:lvl>
    <w:lvl w:ilvl="8">
      <w:start w:val="0"/>
      <w:numFmt w:val="bullet"/>
      <w:lvlText w:val="•"/>
      <w:lvlJc w:val="left"/>
      <w:pPr>
        <w:ind w:left="7971" w:hanging="360"/>
      </w:pPr>
      <w:rPr>
        <w:rFonts w:hint="default"/>
        <w:lang w:val="it-IT" w:eastAsia="it-IT" w:bidi="it-IT"/>
      </w:rPr>
    </w:lvl>
  </w:abstractNum>
  <w:abstractNum w:abstractNumId="6">
    <w:multiLevelType w:val="hybridMultilevel"/>
    <w:lvl w:ilvl="0">
      <w:start w:val="1"/>
      <w:numFmt w:val="upperLetter"/>
      <w:lvlText w:val="%1."/>
      <w:lvlJc w:val="left"/>
      <w:pPr>
        <w:ind w:left="393" w:hanging="281"/>
        <w:jc w:val="left"/>
      </w:pPr>
      <w:rPr>
        <w:rFonts w:hint="default" w:ascii="Garamond" w:hAnsi="Garamond" w:eastAsia="Garamond" w:cs="Garamond"/>
        <w:b/>
        <w:bCs/>
        <w:w w:val="100"/>
        <w:sz w:val="24"/>
        <w:szCs w:val="24"/>
        <w:lang w:val="it-IT" w:eastAsia="it-IT" w:bidi="it-IT"/>
      </w:rPr>
    </w:lvl>
    <w:lvl w:ilvl="1">
      <w:start w:val="0"/>
      <w:numFmt w:val="bullet"/>
      <w:lvlText w:val=""/>
      <w:lvlJc w:val="left"/>
      <w:pPr>
        <w:ind w:left="926" w:hanging="454"/>
      </w:pPr>
      <w:rPr>
        <w:rFonts w:hint="default" w:ascii="Symbol" w:hAnsi="Symbol" w:eastAsia="Symbol" w:cs="Symbol"/>
        <w:w w:val="100"/>
        <w:sz w:val="18"/>
        <w:szCs w:val="18"/>
        <w:lang w:val="it-IT" w:eastAsia="it-IT" w:bidi="it-IT"/>
      </w:rPr>
    </w:lvl>
    <w:lvl w:ilvl="2">
      <w:start w:val="0"/>
      <w:numFmt w:val="bullet"/>
      <w:lvlText w:val="•"/>
      <w:lvlJc w:val="left"/>
      <w:pPr>
        <w:ind w:left="1918" w:hanging="454"/>
      </w:pPr>
      <w:rPr>
        <w:rFonts w:hint="default"/>
        <w:lang w:val="it-IT" w:eastAsia="it-IT" w:bidi="it-IT"/>
      </w:rPr>
    </w:lvl>
    <w:lvl w:ilvl="3">
      <w:start w:val="0"/>
      <w:numFmt w:val="bullet"/>
      <w:lvlText w:val="•"/>
      <w:lvlJc w:val="left"/>
      <w:pPr>
        <w:ind w:left="2916" w:hanging="454"/>
      </w:pPr>
      <w:rPr>
        <w:rFonts w:hint="default"/>
        <w:lang w:val="it-IT" w:eastAsia="it-IT" w:bidi="it-IT"/>
      </w:rPr>
    </w:lvl>
    <w:lvl w:ilvl="4">
      <w:start w:val="0"/>
      <w:numFmt w:val="bullet"/>
      <w:lvlText w:val="•"/>
      <w:lvlJc w:val="left"/>
      <w:pPr>
        <w:ind w:left="3915" w:hanging="454"/>
      </w:pPr>
      <w:rPr>
        <w:rFonts w:hint="default"/>
        <w:lang w:val="it-IT" w:eastAsia="it-IT" w:bidi="it-IT"/>
      </w:rPr>
    </w:lvl>
    <w:lvl w:ilvl="5">
      <w:start w:val="0"/>
      <w:numFmt w:val="bullet"/>
      <w:lvlText w:val="•"/>
      <w:lvlJc w:val="left"/>
      <w:pPr>
        <w:ind w:left="4913" w:hanging="454"/>
      </w:pPr>
      <w:rPr>
        <w:rFonts w:hint="default"/>
        <w:lang w:val="it-IT" w:eastAsia="it-IT" w:bidi="it-IT"/>
      </w:rPr>
    </w:lvl>
    <w:lvl w:ilvl="6">
      <w:start w:val="0"/>
      <w:numFmt w:val="bullet"/>
      <w:lvlText w:val="•"/>
      <w:lvlJc w:val="left"/>
      <w:pPr>
        <w:ind w:left="5912" w:hanging="454"/>
      </w:pPr>
      <w:rPr>
        <w:rFonts w:hint="default"/>
        <w:lang w:val="it-IT" w:eastAsia="it-IT" w:bidi="it-IT"/>
      </w:rPr>
    </w:lvl>
    <w:lvl w:ilvl="7">
      <w:start w:val="0"/>
      <w:numFmt w:val="bullet"/>
      <w:lvlText w:val="•"/>
      <w:lvlJc w:val="left"/>
      <w:pPr>
        <w:ind w:left="6910" w:hanging="454"/>
      </w:pPr>
      <w:rPr>
        <w:rFonts w:hint="default"/>
        <w:lang w:val="it-IT" w:eastAsia="it-IT" w:bidi="it-IT"/>
      </w:rPr>
    </w:lvl>
    <w:lvl w:ilvl="8">
      <w:start w:val="0"/>
      <w:numFmt w:val="bullet"/>
      <w:lvlText w:val="•"/>
      <w:lvlJc w:val="left"/>
      <w:pPr>
        <w:ind w:left="7909" w:hanging="454"/>
      </w:pPr>
      <w:rPr>
        <w:rFonts w:hint="default"/>
        <w:lang w:val="it-IT" w:eastAsia="it-IT" w:bidi="it-IT"/>
      </w:rPr>
    </w:lvl>
  </w:abstractNum>
  <w:abstractNum w:abstractNumId="5">
    <w:multiLevelType w:val="hybridMultilevel"/>
    <w:lvl w:ilvl="0">
      <w:start w:val="1"/>
      <w:numFmt w:val="decimal"/>
      <w:lvlText w:val="%1."/>
      <w:lvlJc w:val="left"/>
      <w:pPr>
        <w:ind w:left="396" w:hanging="284"/>
        <w:jc w:val="left"/>
      </w:pPr>
      <w:rPr>
        <w:rFonts w:hint="default" w:ascii="Garamond" w:hAnsi="Garamond" w:eastAsia="Garamond" w:cs="Garamond"/>
        <w:spacing w:val="-1"/>
        <w:w w:val="100"/>
        <w:sz w:val="22"/>
        <w:szCs w:val="22"/>
        <w:lang w:val="it-IT" w:eastAsia="it-IT" w:bidi="it-IT"/>
      </w:rPr>
    </w:lvl>
    <w:lvl w:ilvl="1">
      <w:start w:val="0"/>
      <w:numFmt w:val="bullet"/>
      <w:lvlText w:val="•"/>
      <w:lvlJc w:val="left"/>
      <w:pPr>
        <w:ind w:left="1350" w:hanging="284"/>
      </w:pPr>
      <w:rPr>
        <w:rFonts w:hint="default"/>
        <w:lang w:val="it-IT" w:eastAsia="it-IT" w:bidi="it-IT"/>
      </w:rPr>
    </w:lvl>
    <w:lvl w:ilvl="2">
      <w:start w:val="0"/>
      <w:numFmt w:val="bullet"/>
      <w:lvlText w:val="•"/>
      <w:lvlJc w:val="left"/>
      <w:pPr>
        <w:ind w:left="2301" w:hanging="284"/>
      </w:pPr>
      <w:rPr>
        <w:rFonts w:hint="default"/>
        <w:lang w:val="it-IT" w:eastAsia="it-IT" w:bidi="it-IT"/>
      </w:rPr>
    </w:lvl>
    <w:lvl w:ilvl="3">
      <w:start w:val="0"/>
      <w:numFmt w:val="bullet"/>
      <w:lvlText w:val="•"/>
      <w:lvlJc w:val="left"/>
      <w:pPr>
        <w:ind w:left="3251" w:hanging="284"/>
      </w:pPr>
      <w:rPr>
        <w:rFonts w:hint="default"/>
        <w:lang w:val="it-IT" w:eastAsia="it-IT" w:bidi="it-IT"/>
      </w:rPr>
    </w:lvl>
    <w:lvl w:ilvl="4">
      <w:start w:val="0"/>
      <w:numFmt w:val="bullet"/>
      <w:lvlText w:val="•"/>
      <w:lvlJc w:val="left"/>
      <w:pPr>
        <w:ind w:left="4202" w:hanging="284"/>
      </w:pPr>
      <w:rPr>
        <w:rFonts w:hint="default"/>
        <w:lang w:val="it-IT" w:eastAsia="it-IT" w:bidi="it-IT"/>
      </w:rPr>
    </w:lvl>
    <w:lvl w:ilvl="5">
      <w:start w:val="0"/>
      <w:numFmt w:val="bullet"/>
      <w:lvlText w:val="•"/>
      <w:lvlJc w:val="left"/>
      <w:pPr>
        <w:ind w:left="5153" w:hanging="284"/>
      </w:pPr>
      <w:rPr>
        <w:rFonts w:hint="default"/>
        <w:lang w:val="it-IT" w:eastAsia="it-IT" w:bidi="it-IT"/>
      </w:rPr>
    </w:lvl>
    <w:lvl w:ilvl="6">
      <w:start w:val="0"/>
      <w:numFmt w:val="bullet"/>
      <w:lvlText w:val="•"/>
      <w:lvlJc w:val="left"/>
      <w:pPr>
        <w:ind w:left="6103" w:hanging="284"/>
      </w:pPr>
      <w:rPr>
        <w:rFonts w:hint="default"/>
        <w:lang w:val="it-IT" w:eastAsia="it-IT" w:bidi="it-IT"/>
      </w:rPr>
    </w:lvl>
    <w:lvl w:ilvl="7">
      <w:start w:val="0"/>
      <w:numFmt w:val="bullet"/>
      <w:lvlText w:val="•"/>
      <w:lvlJc w:val="left"/>
      <w:pPr>
        <w:ind w:left="7054" w:hanging="284"/>
      </w:pPr>
      <w:rPr>
        <w:rFonts w:hint="default"/>
        <w:lang w:val="it-IT" w:eastAsia="it-IT" w:bidi="it-IT"/>
      </w:rPr>
    </w:lvl>
    <w:lvl w:ilvl="8">
      <w:start w:val="0"/>
      <w:numFmt w:val="bullet"/>
      <w:lvlText w:val="•"/>
      <w:lvlJc w:val="left"/>
      <w:pPr>
        <w:ind w:left="8005" w:hanging="284"/>
      </w:pPr>
      <w:rPr>
        <w:rFonts w:hint="default"/>
        <w:lang w:val="it-IT" w:eastAsia="it-IT" w:bidi="it-IT"/>
      </w:rPr>
    </w:lvl>
  </w:abstractNum>
  <w:abstractNum w:abstractNumId="4">
    <w:multiLevelType w:val="hybridMultilevel"/>
    <w:lvl w:ilvl="0">
      <w:start w:val="6"/>
      <w:numFmt w:val="decimal"/>
      <w:lvlText w:val="%1"/>
      <w:lvlJc w:val="left"/>
      <w:pPr>
        <w:ind w:left="478" w:hanging="366"/>
        <w:jc w:val="left"/>
      </w:pPr>
      <w:rPr>
        <w:rFonts w:hint="default"/>
        <w:lang w:val="it-IT" w:eastAsia="it-IT" w:bidi="it-IT"/>
      </w:rPr>
    </w:lvl>
    <w:lvl w:ilvl="1">
      <w:start w:val="1"/>
      <w:numFmt w:val="decimal"/>
      <w:lvlText w:val="%1.%2"/>
      <w:lvlJc w:val="left"/>
      <w:pPr>
        <w:ind w:left="478" w:hanging="366"/>
        <w:jc w:val="left"/>
      </w:pPr>
      <w:rPr>
        <w:rFonts w:hint="default" w:ascii="Garamond" w:hAnsi="Garamond" w:eastAsia="Garamond" w:cs="Garamond"/>
        <w:b/>
        <w:bCs/>
        <w:i/>
        <w:color w:val="006FC0"/>
        <w:w w:val="106"/>
        <w:sz w:val="24"/>
        <w:szCs w:val="24"/>
        <w:lang w:val="it-IT" w:eastAsia="it-IT" w:bidi="it-IT"/>
      </w:rPr>
    </w:lvl>
    <w:lvl w:ilvl="2">
      <w:start w:val="0"/>
      <w:numFmt w:val="bullet"/>
      <w:lvlText w:val="•"/>
      <w:lvlJc w:val="left"/>
      <w:pPr>
        <w:ind w:left="2365" w:hanging="366"/>
      </w:pPr>
      <w:rPr>
        <w:rFonts w:hint="default"/>
        <w:lang w:val="it-IT" w:eastAsia="it-IT" w:bidi="it-IT"/>
      </w:rPr>
    </w:lvl>
    <w:lvl w:ilvl="3">
      <w:start w:val="0"/>
      <w:numFmt w:val="bullet"/>
      <w:lvlText w:val="•"/>
      <w:lvlJc w:val="left"/>
      <w:pPr>
        <w:ind w:left="3307" w:hanging="366"/>
      </w:pPr>
      <w:rPr>
        <w:rFonts w:hint="default"/>
        <w:lang w:val="it-IT" w:eastAsia="it-IT" w:bidi="it-IT"/>
      </w:rPr>
    </w:lvl>
    <w:lvl w:ilvl="4">
      <w:start w:val="0"/>
      <w:numFmt w:val="bullet"/>
      <w:lvlText w:val="•"/>
      <w:lvlJc w:val="left"/>
      <w:pPr>
        <w:ind w:left="4250" w:hanging="366"/>
      </w:pPr>
      <w:rPr>
        <w:rFonts w:hint="default"/>
        <w:lang w:val="it-IT" w:eastAsia="it-IT" w:bidi="it-IT"/>
      </w:rPr>
    </w:lvl>
    <w:lvl w:ilvl="5">
      <w:start w:val="0"/>
      <w:numFmt w:val="bullet"/>
      <w:lvlText w:val="•"/>
      <w:lvlJc w:val="left"/>
      <w:pPr>
        <w:ind w:left="5193" w:hanging="366"/>
      </w:pPr>
      <w:rPr>
        <w:rFonts w:hint="default"/>
        <w:lang w:val="it-IT" w:eastAsia="it-IT" w:bidi="it-IT"/>
      </w:rPr>
    </w:lvl>
    <w:lvl w:ilvl="6">
      <w:start w:val="0"/>
      <w:numFmt w:val="bullet"/>
      <w:lvlText w:val="•"/>
      <w:lvlJc w:val="left"/>
      <w:pPr>
        <w:ind w:left="6135" w:hanging="366"/>
      </w:pPr>
      <w:rPr>
        <w:rFonts w:hint="default"/>
        <w:lang w:val="it-IT" w:eastAsia="it-IT" w:bidi="it-IT"/>
      </w:rPr>
    </w:lvl>
    <w:lvl w:ilvl="7">
      <w:start w:val="0"/>
      <w:numFmt w:val="bullet"/>
      <w:lvlText w:val="•"/>
      <w:lvlJc w:val="left"/>
      <w:pPr>
        <w:ind w:left="7078" w:hanging="366"/>
      </w:pPr>
      <w:rPr>
        <w:rFonts w:hint="default"/>
        <w:lang w:val="it-IT" w:eastAsia="it-IT" w:bidi="it-IT"/>
      </w:rPr>
    </w:lvl>
    <w:lvl w:ilvl="8">
      <w:start w:val="0"/>
      <w:numFmt w:val="bullet"/>
      <w:lvlText w:val="•"/>
      <w:lvlJc w:val="left"/>
      <w:pPr>
        <w:ind w:left="8021" w:hanging="366"/>
      </w:pPr>
      <w:rPr>
        <w:rFonts w:hint="default"/>
        <w:lang w:val="it-IT" w:eastAsia="it-IT" w:bidi="it-IT"/>
      </w:rPr>
    </w:lvl>
  </w:abstractNum>
  <w:abstractNum w:abstractNumId="3">
    <w:multiLevelType w:val="hybridMultilevel"/>
    <w:lvl w:ilvl="0">
      <w:start w:val="1"/>
      <w:numFmt w:val="decimal"/>
      <w:lvlText w:val="%1."/>
      <w:lvlJc w:val="left"/>
      <w:pPr>
        <w:ind w:left="396" w:hanging="284"/>
        <w:jc w:val="left"/>
      </w:pPr>
      <w:rPr>
        <w:rFonts w:hint="default" w:ascii="Garamond" w:hAnsi="Garamond" w:eastAsia="Garamond" w:cs="Garamond"/>
        <w:spacing w:val="-1"/>
        <w:w w:val="100"/>
        <w:sz w:val="22"/>
        <w:szCs w:val="22"/>
        <w:lang w:val="it-IT" w:eastAsia="it-IT" w:bidi="it-IT"/>
      </w:rPr>
    </w:lvl>
    <w:lvl w:ilvl="1">
      <w:start w:val="1"/>
      <w:numFmt w:val="lowerLetter"/>
      <w:lvlText w:val="%2."/>
      <w:lvlJc w:val="left"/>
      <w:pPr>
        <w:ind w:left="1193" w:hanging="360"/>
        <w:jc w:val="left"/>
      </w:pPr>
      <w:rPr>
        <w:rFonts w:hint="default" w:ascii="Garamond" w:hAnsi="Garamond" w:eastAsia="Garamond" w:cs="Garamond"/>
        <w:i/>
        <w:spacing w:val="-3"/>
        <w:w w:val="100"/>
        <w:sz w:val="24"/>
        <w:szCs w:val="24"/>
        <w:lang w:val="it-IT" w:eastAsia="it-IT" w:bidi="it-IT"/>
      </w:rPr>
    </w:lvl>
    <w:lvl w:ilvl="2">
      <w:start w:val="1"/>
      <w:numFmt w:val="lowerRoman"/>
      <w:lvlText w:val="%3."/>
      <w:lvlJc w:val="left"/>
      <w:pPr>
        <w:ind w:left="1531" w:hanging="250"/>
        <w:jc w:val="right"/>
      </w:pPr>
      <w:rPr>
        <w:rFonts w:hint="default" w:ascii="Garamond" w:hAnsi="Garamond" w:eastAsia="Garamond" w:cs="Garamond"/>
        <w:spacing w:val="-9"/>
        <w:w w:val="100"/>
        <w:sz w:val="24"/>
        <w:szCs w:val="24"/>
        <w:lang w:val="it-IT" w:eastAsia="it-IT" w:bidi="it-IT"/>
      </w:rPr>
    </w:lvl>
    <w:lvl w:ilvl="3">
      <w:start w:val="0"/>
      <w:numFmt w:val="bullet"/>
      <w:lvlText w:val="•"/>
      <w:lvlJc w:val="left"/>
      <w:pPr>
        <w:ind w:left="2585" w:hanging="250"/>
      </w:pPr>
      <w:rPr>
        <w:rFonts w:hint="default"/>
        <w:lang w:val="it-IT" w:eastAsia="it-IT" w:bidi="it-IT"/>
      </w:rPr>
    </w:lvl>
    <w:lvl w:ilvl="4">
      <w:start w:val="0"/>
      <w:numFmt w:val="bullet"/>
      <w:lvlText w:val="•"/>
      <w:lvlJc w:val="left"/>
      <w:pPr>
        <w:ind w:left="3631" w:hanging="250"/>
      </w:pPr>
      <w:rPr>
        <w:rFonts w:hint="default"/>
        <w:lang w:val="it-IT" w:eastAsia="it-IT" w:bidi="it-IT"/>
      </w:rPr>
    </w:lvl>
    <w:lvl w:ilvl="5">
      <w:start w:val="0"/>
      <w:numFmt w:val="bullet"/>
      <w:lvlText w:val="•"/>
      <w:lvlJc w:val="left"/>
      <w:pPr>
        <w:ind w:left="4677" w:hanging="250"/>
      </w:pPr>
      <w:rPr>
        <w:rFonts w:hint="default"/>
        <w:lang w:val="it-IT" w:eastAsia="it-IT" w:bidi="it-IT"/>
      </w:rPr>
    </w:lvl>
    <w:lvl w:ilvl="6">
      <w:start w:val="0"/>
      <w:numFmt w:val="bullet"/>
      <w:lvlText w:val="•"/>
      <w:lvlJc w:val="left"/>
      <w:pPr>
        <w:ind w:left="5723" w:hanging="250"/>
      </w:pPr>
      <w:rPr>
        <w:rFonts w:hint="default"/>
        <w:lang w:val="it-IT" w:eastAsia="it-IT" w:bidi="it-IT"/>
      </w:rPr>
    </w:lvl>
    <w:lvl w:ilvl="7">
      <w:start w:val="0"/>
      <w:numFmt w:val="bullet"/>
      <w:lvlText w:val="•"/>
      <w:lvlJc w:val="left"/>
      <w:pPr>
        <w:ind w:left="6769" w:hanging="250"/>
      </w:pPr>
      <w:rPr>
        <w:rFonts w:hint="default"/>
        <w:lang w:val="it-IT" w:eastAsia="it-IT" w:bidi="it-IT"/>
      </w:rPr>
    </w:lvl>
    <w:lvl w:ilvl="8">
      <w:start w:val="0"/>
      <w:numFmt w:val="bullet"/>
      <w:lvlText w:val="•"/>
      <w:lvlJc w:val="left"/>
      <w:pPr>
        <w:ind w:left="7814" w:hanging="250"/>
      </w:pPr>
      <w:rPr>
        <w:rFonts w:hint="default"/>
        <w:lang w:val="it-IT" w:eastAsia="it-IT" w:bidi="it-IT"/>
      </w:rPr>
    </w:lvl>
  </w:abstractNum>
  <w:abstractNum w:abstractNumId="2">
    <w:multiLevelType w:val="hybridMultilevel"/>
    <w:lvl w:ilvl="0">
      <w:start w:val="1"/>
      <w:numFmt w:val="decimal"/>
      <w:lvlText w:val="%1."/>
      <w:lvlJc w:val="left"/>
      <w:pPr>
        <w:ind w:left="396" w:hanging="284"/>
        <w:jc w:val="left"/>
      </w:pPr>
      <w:rPr>
        <w:rFonts w:hint="default" w:ascii="Garamond" w:hAnsi="Garamond" w:eastAsia="Garamond" w:cs="Garamond"/>
        <w:spacing w:val="-1"/>
        <w:w w:val="100"/>
        <w:sz w:val="22"/>
        <w:szCs w:val="22"/>
        <w:lang w:val="it-IT" w:eastAsia="it-IT" w:bidi="it-IT"/>
      </w:rPr>
    </w:lvl>
    <w:lvl w:ilvl="1">
      <w:start w:val="0"/>
      <w:numFmt w:val="bullet"/>
      <w:lvlText w:val="•"/>
      <w:lvlJc w:val="left"/>
      <w:pPr>
        <w:ind w:left="1350" w:hanging="284"/>
      </w:pPr>
      <w:rPr>
        <w:rFonts w:hint="default"/>
        <w:lang w:val="it-IT" w:eastAsia="it-IT" w:bidi="it-IT"/>
      </w:rPr>
    </w:lvl>
    <w:lvl w:ilvl="2">
      <w:start w:val="0"/>
      <w:numFmt w:val="bullet"/>
      <w:lvlText w:val="•"/>
      <w:lvlJc w:val="left"/>
      <w:pPr>
        <w:ind w:left="2301" w:hanging="284"/>
      </w:pPr>
      <w:rPr>
        <w:rFonts w:hint="default"/>
        <w:lang w:val="it-IT" w:eastAsia="it-IT" w:bidi="it-IT"/>
      </w:rPr>
    </w:lvl>
    <w:lvl w:ilvl="3">
      <w:start w:val="0"/>
      <w:numFmt w:val="bullet"/>
      <w:lvlText w:val="•"/>
      <w:lvlJc w:val="left"/>
      <w:pPr>
        <w:ind w:left="3251" w:hanging="284"/>
      </w:pPr>
      <w:rPr>
        <w:rFonts w:hint="default"/>
        <w:lang w:val="it-IT" w:eastAsia="it-IT" w:bidi="it-IT"/>
      </w:rPr>
    </w:lvl>
    <w:lvl w:ilvl="4">
      <w:start w:val="0"/>
      <w:numFmt w:val="bullet"/>
      <w:lvlText w:val="•"/>
      <w:lvlJc w:val="left"/>
      <w:pPr>
        <w:ind w:left="4202" w:hanging="284"/>
      </w:pPr>
      <w:rPr>
        <w:rFonts w:hint="default"/>
        <w:lang w:val="it-IT" w:eastAsia="it-IT" w:bidi="it-IT"/>
      </w:rPr>
    </w:lvl>
    <w:lvl w:ilvl="5">
      <w:start w:val="0"/>
      <w:numFmt w:val="bullet"/>
      <w:lvlText w:val="•"/>
      <w:lvlJc w:val="left"/>
      <w:pPr>
        <w:ind w:left="5153" w:hanging="284"/>
      </w:pPr>
      <w:rPr>
        <w:rFonts w:hint="default"/>
        <w:lang w:val="it-IT" w:eastAsia="it-IT" w:bidi="it-IT"/>
      </w:rPr>
    </w:lvl>
    <w:lvl w:ilvl="6">
      <w:start w:val="0"/>
      <w:numFmt w:val="bullet"/>
      <w:lvlText w:val="•"/>
      <w:lvlJc w:val="left"/>
      <w:pPr>
        <w:ind w:left="6103" w:hanging="284"/>
      </w:pPr>
      <w:rPr>
        <w:rFonts w:hint="default"/>
        <w:lang w:val="it-IT" w:eastAsia="it-IT" w:bidi="it-IT"/>
      </w:rPr>
    </w:lvl>
    <w:lvl w:ilvl="7">
      <w:start w:val="0"/>
      <w:numFmt w:val="bullet"/>
      <w:lvlText w:val="•"/>
      <w:lvlJc w:val="left"/>
      <w:pPr>
        <w:ind w:left="7054" w:hanging="284"/>
      </w:pPr>
      <w:rPr>
        <w:rFonts w:hint="default"/>
        <w:lang w:val="it-IT" w:eastAsia="it-IT" w:bidi="it-IT"/>
      </w:rPr>
    </w:lvl>
    <w:lvl w:ilvl="8">
      <w:start w:val="0"/>
      <w:numFmt w:val="bullet"/>
      <w:lvlText w:val="•"/>
      <w:lvlJc w:val="left"/>
      <w:pPr>
        <w:ind w:left="8005" w:hanging="284"/>
      </w:pPr>
      <w:rPr>
        <w:rFonts w:hint="default"/>
        <w:lang w:val="it-IT" w:eastAsia="it-IT" w:bidi="it-IT"/>
      </w:rPr>
    </w:lvl>
  </w:abstractNum>
  <w:abstractNum w:abstractNumId="1">
    <w:multiLevelType w:val="hybridMultilevel"/>
    <w:lvl w:ilvl="0">
      <w:start w:val="1"/>
      <w:numFmt w:val="decimal"/>
      <w:lvlText w:val="%1."/>
      <w:lvlJc w:val="left"/>
      <w:pPr>
        <w:ind w:left="398" w:hanging="287"/>
        <w:jc w:val="left"/>
      </w:pPr>
      <w:rPr>
        <w:rFonts w:hint="default" w:ascii="Garamond" w:hAnsi="Garamond" w:eastAsia="Garamond" w:cs="Garamond"/>
        <w:spacing w:val="-12"/>
        <w:w w:val="88"/>
        <w:sz w:val="24"/>
        <w:szCs w:val="24"/>
        <w:lang w:val="it-IT" w:eastAsia="it-IT" w:bidi="it-IT"/>
      </w:rPr>
    </w:lvl>
    <w:lvl w:ilvl="1">
      <w:start w:val="0"/>
      <w:numFmt w:val="bullet"/>
      <w:lvlText w:val="-"/>
      <w:lvlJc w:val="left"/>
      <w:pPr>
        <w:ind w:left="823" w:hanging="147"/>
      </w:pPr>
      <w:rPr>
        <w:rFonts w:hint="default" w:ascii="Garamond" w:hAnsi="Garamond" w:eastAsia="Garamond" w:cs="Garamond"/>
        <w:w w:val="100"/>
        <w:sz w:val="24"/>
        <w:szCs w:val="24"/>
        <w:lang w:val="it-IT" w:eastAsia="it-IT" w:bidi="it-IT"/>
      </w:rPr>
    </w:lvl>
    <w:lvl w:ilvl="2">
      <w:start w:val="0"/>
      <w:numFmt w:val="bullet"/>
      <w:lvlText w:val="•"/>
      <w:lvlJc w:val="left"/>
      <w:pPr>
        <w:ind w:left="1829" w:hanging="147"/>
      </w:pPr>
      <w:rPr>
        <w:rFonts w:hint="default"/>
        <w:lang w:val="it-IT" w:eastAsia="it-IT" w:bidi="it-IT"/>
      </w:rPr>
    </w:lvl>
    <w:lvl w:ilvl="3">
      <w:start w:val="0"/>
      <w:numFmt w:val="bullet"/>
      <w:lvlText w:val="•"/>
      <w:lvlJc w:val="left"/>
      <w:pPr>
        <w:ind w:left="2839" w:hanging="147"/>
      </w:pPr>
      <w:rPr>
        <w:rFonts w:hint="default"/>
        <w:lang w:val="it-IT" w:eastAsia="it-IT" w:bidi="it-IT"/>
      </w:rPr>
    </w:lvl>
    <w:lvl w:ilvl="4">
      <w:start w:val="0"/>
      <w:numFmt w:val="bullet"/>
      <w:lvlText w:val="•"/>
      <w:lvlJc w:val="left"/>
      <w:pPr>
        <w:ind w:left="3848" w:hanging="147"/>
      </w:pPr>
      <w:rPr>
        <w:rFonts w:hint="default"/>
        <w:lang w:val="it-IT" w:eastAsia="it-IT" w:bidi="it-IT"/>
      </w:rPr>
    </w:lvl>
    <w:lvl w:ilvl="5">
      <w:start w:val="0"/>
      <w:numFmt w:val="bullet"/>
      <w:lvlText w:val="•"/>
      <w:lvlJc w:val="left"/>
      <w:pPr>
        <w:ind w:left="4858" w:hanging="147"/>
      </w:pPr>
      <w:rPr>
        <w:rFonts w:hint="default"/>
        <w:lang w:val="it-IT" w:eastAsia="it-IT" w:bidi="it-IT"/>
      </w:rPr>
    </w:lvl>
    <w:lvl w:ilvl="6">
      <w:start w:val="0"/>
      <w:numFmt w:val="bullet"/>
      <w:lvlText w:val="•"/>
      <w:lvlJc w:val="left"/>
      <w:pPr>
        <w:ind w:left="5868" w:hanging="147"/>
      </w:pPr>
      <w:rPr>
        <w:rFonts w:hint="default"/>
        <w:lang w:val="it-IT" w:eastAsia="it-IT" w:bidi="it-IT"/>
      </w:rPr>
    </w:lvl>
    <w:lvl w:ilvl="7">
      <w:start w:val="0"/>
      <w:numFmt w:val="bullet"/>
      <w:lvlText w:val="•"/>
      <w:lvlJc w:val="left"/>
      <w:pPr>
        <w:ind w:left="6877" w:hanging="147"/>
      </w:pPr>
      <w:rPr>
        <w:rFonts w:hint="default"/>
        <w:lang w:val="it-IT" w:eastAsia="it-IT" w:bidi="it-IT"/>
      </w:rPr>
    </w:lvl>
    <w:lvl w:ilvl="8">
      <w:start w:val="0"/>
      <w:numFmt w:val="bullet"/>
      <w:lvlText w:val="•"/>
      <w:lvlJc w:val="left"/>
      <w:pPr>
        <w:ind w:left="7887" w:hanging="147"/>
      </w:pPr>
      <w:rPr>
        <w:rFonts w:hint="default"/>
        <w:lang w:val="it-IT" w:eastAsia="it-IT" w:bidi="it-IT"/>
      </w:rPr>
    </w:lvl>
  </w:abstractNum>
  <w:abstractNum w:abstractNumId="0">
    <w:multiLevelType w:val="hybridMultilevel"/>
    <w:lvl w:ilvl="0">
      <w:start w:val="1"/>
      <w:numFmt w:val="decimal"/>
      <w:lvlText w:val="%1."/>
      <w:lvlJc w:val="left"/>
      <w:pPr>
        <w:ind w:left="398" w:hanging="287"/>
        <w:jc w:val="left"/>
      </w:pPr>
      <w:rPr>
        <w:rFonts w:hint="default" w:ascii="Garamond" w:hAnsi="Garamond" w:eastAsia="Garamond" w:cs="Garamond"/>
        <w:spacing w:val="-27"/>
        <w:w w:val="88"/>
        <w:sz w:val="24"/>
        <w:szCs w:val="24"/>
        <w:lang w:val="it-IT" w:eastAsia="it-IT" w:bidi="it-IT"/>
      </w:rPr>
    </w:lvl>
    <w:lvl w:ilvl="1">
      <w:start w:val="0"/>
      <w:numFmt w:val="bullet"/>
      <w:lvlText w:val="•"/>
      <w:lvlJc w:val="left"/>
      <w:pPr>
        <w:ind w:left="1350" w:hanging="287"/>
      </w:pPr>
      <w:rPr>
        <w:rFonts w:hint="default"/>
        <w:lang w:val="it-IT" w:eastAsia="it-IT" w:bidi="it-IT"/>
      </w:rPr>
    </w:lvl>
    <w:lvl w:ilvl="2">
      <w:start w:val="0"/>
      <w:numFmt w:val="bullet"/>
      <w:lvlText w:val="•"/>
      <w:lvlJc w:val="left"/>
      <w:pPr>
        <w:ind w:left="2301" w:hanging="287"/>
      </w:pPr>
      <w:rPr>
        <w:rFonts w:hint="default"/>
        <w:lang w:val="it-IT" w:eastAsia="it-IT" w:bidi="it-IT"/>
      </w:rPr>
    </w:lvl>
    <w:lvl w:ilvl="3">
      <w:start w:val="0"/>
      <w:numFmt w:val="bullet"/>
      <w:lvlText w:val="•"/>
      <w:lvlJc w:val="left"/>
      <w:pPr>
        <w:ind w:left="3251" w:hanging="287"/>
      </w:pPr>
      <w:rPr>
        <w:rFonts w:hint="default"/>
        <w:lang w:val="it-IT" w:eastAsia="it-IT" w:bidi="it-IT"/>
      </w:rPr>
    </w:lvl>
    <w:lvl w:ilvl="4">
      <w:start w:val="0"/>
      <w:numFmt w:val="bullet"/>
      <w:lvlText w:val="•"/>
      <w:lvlJc w:val="left"/>
      <w:pPr>
        <w:ind w:left="4202" w:hanging="287"/>
      </w:pPr>
      <w:rPr>
        <w:rFonts w:hint="default"/>
        <w:lang w:val="it-IT" w:eastAsia="it-IT" w:bidi="it-IT"/>
      </w:rPr>
    </w:lvl>
    <w:lvl w:ilvl="5">
      <w:start w:val="0"/>
      <w:numFmt w:val="bullet"/>
      <w:lvlText w:val="•"/>
      <w:lvlJc w:val="left"/>
      <w:pPr>
        <w:ind w:left="5153" w:hanging="287"/>
      </w:pPr>
      <w:rPr>
        <w:rFonts w:hint="default"/>
        <w:lang w:val="it-IT" w:eastAsia="it-IT" w:bidi="it-IT"/>
      </w:rPr>
    </w:lvl>
    <w:lvl w:ilvl="6">
      <w:start w:val="0"/>
      <w:numFmt w:val="bullet"/>
      <w:lvlText w:val="•"/>
      <w:lvlJc w:val="left"/>
      <w:pPr>
        <w:ind w:left="6103" w:hanging="287"/>
      </w:pPr>
      <w:rPr>
        <w:rFonts w:hint="default"/>
        <w:lang w:val="it-IT" w:eastAsia="it-IT" w:bidi="it-IT"/>
      </w:rPr>
    </w:lvl>
    <w:lvl w:ilvl="7">
      <w:start w:val="0"/>
      <w:numFmt w:val="bullet"/>
      <w:lvlText w:val="•"/>
      <w:lvlJc w:val="left"/>
      <w:pPr>
        <w:ind w:left="7054" w:hanging="287"/>
      </w:pPr>
      <w:rPr>
        <w:rFonts w:hint="default"/>
        <w:lang w:val="it-IT" w:eastAsia="it-IT" w:bidi="it-IT"/>
      </w:rPr>
    </w:lvl>
    <w:lvl w:ilvl="8">
      <w:start w:val="0"/>
      <w:numFmt w:val="bullet"/>
      <w:lvlText w:val="•"/>
      <w:lvlJc w:val="left"/>
      <w:pPr>
        <w:ind w:left="8005" w:hanging="287"/>
      </w:pPr>
      <w:rPr>
        <w:rFonts w:hint="default"/>
        <w:lang w:val="it-IT" w:eastAsia="it-IT" w:bidi="it-IT"/>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aramond" w:hAnsi="Garamond" w:eastAsia="Garamond" w:cs="Garamond"/>
      <w:lang w:val="it-IT" w:eastAsia="it-IT" w:bidi="it-IT"/>
    </w:rPr>
  </w:style>
  <w:style w:styleId="BodyText" w:type="paragraph">
    <w:name w:val="Body Text"/>
    <w:basedOn w:val="Normal"/>
    <w:uiPriority w:val="1"/>
    <w:qFormat/>
    <w:pPr/>
    <w:rPr>
      <w:rFonts w:ascii="Garamond" w:hAnsi="Garamond" w:eastAsia="Garamond" w:cs="Garamond"/>
      <w:sz w:val="24"/>
      <w:szCs w:val="24"/>
      <w:lang w:val="it-IT" w:eastAsia="it-IT" w:bidi="it-IT"/>
    </w:rPr>
  </w:style>
  <w:style w:styleId="Heading1" w:type="paragraph">
    <w:name w:val="Heading 1"/>
    <w:basedOn w:val="Normal"/>
    <w:uiPriority w:val="1"/>
    <w:qFormat/>
    <w:pPr>
      <w:ind w:left="208" w:right="105"/>
      <w:jc w:val="center"/>
      <w:outlineLvl w:val="1"/>
    </w:pPr>
    <w:rPr>
      <w:rFonts w:ascii="Garamond" w:hAnsi="Garamond" w:eastAsia="Garamond" w:cs="Garamond"/>
      <w:b/>
      <w:bCs/>
      <w:sz w:val="28"/>
      <w:szCs w:val="28"/>
      <w:lang w:val="it-IT" w:eastAsia="it-IT" w:bidi="it-IT"/>
    </w:rPr>
  </w:style>
  <w:style w:styleId="Heading2" w:type="paragraph">
    <w:name w:val="Heading 2"/>
    <w:basedOn w:val="Normal"/>
    <w:uiPriority w:val="1"/>
    <w:qFormat/>
    <w:pPr>
      <w:ind w:left="112"/>
      <w:outlineLvl w:val="2"/>
    </w:pPr>
    <w:rPr>
      <w:rFonts w:ascii="Garamond" w:hAnsi="Garamond" w:eastAsia="Garamond" w:cs="Garamond"/>
      <w:b/>
      <w:bCs/>
      <w:sz w:val="24"/>
      <w:szCs w:val="24"/>
      <w:lang w:val="it-IT" w:eastAsia="it-IT" w:bidi="it-IT"/>
    </w:rPr>
  </w:style>
  <w:style w:styleId="Heading3" w:type="paragraph">
    <w:name w:val="Heading 3"/>
    <w:basedOn w:val="Normal"/>
    <w:uiPriority w:val="1"/>
    <w:qFormat/>
    <w:pPr>
      <w:ind w:left="478" w:hanging="366"/>
      <w:outlineLvl w:val="3"/>
    </w:pPr>
    <w:rPr>
      <w:rFonts w:ascii="Garamond" w:hAnsi="Garamond" w:eastAsia="Garamond" w:cs="Garamond"/>
      <w:b/>
      <w:bCs/>
      <w:i/>
      <w:sz w:val="24"/>
      <w:szCs w:val="24"/>
      <w:lang w:val="it-IT" w:eastAsia="it-IT" w:bidi="it-IT"/>
    </w:rPr>
  </w:style>
  <w:style w:styleId="ListParagraph" w:type="paragraph">
    <w:name w:val="List Paragraph"/>
    <w:basedOn w:val="Normal"/>
    <w:uiPriority w:val="1"/>
    <w:qFormat/>
    <w:pPr>
      <w:ind w:left="396" w:hanging="284"/>
    </w:pPr>
    <w:rPr>
      <w:rFonts w:ascii="Garamond" w:hAnsi="Garamond" w:eastAsia="Garamond" w:cs="Garamond"/>
      <w:lang w:val="it-IT" w:eastAsia="it-IT" w:bidi="it-IT"/>
    </w:rPr>
  </w:style>
  <w:style w:styleId="TableParagraph" w:type="paragraph">
    <w:name w:val="Table Paragraph"/>
    <w:basedOn w:val="Normal"/>
    <w:uiPriority w:val="1"/>
    <w:qFormat/>
    <w:pPr>
      <w:spacing w:before="96"/>
      <w:ind w:left="455"/>
    </w:pPr>
    <w:rPr>
      <w:rFonts w:ascii="Garamond" w:hAnsi="Garamond" w:eastAsia="Garamond" w:cs="Garamond"/>
      <w:lang w:val="it-IT" w:eastAsia="it-IT" w:bidi="it-I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eader" Target="header1.xml"/><Relationship Id="rId11" Type="http://schemas.openxmlformats.org/officeDocument/2006/relationships/hyperlink" Target="http://www.istruzione.it/pon/" TargetMode="External"/><Relationship Id="rId12" Type="http://schemas.openxmlformats.org/officeDocument/2006/relationships/hyperlink" Target="https://www.istruzione.it/pon/ponkit_disposizioni.html" TargetMode="External"/><Relationship Id="rId13" Type="http://schemas.openxmlformats.org/officeDocument/2006/relationships/hyperlink" Target="http://pon20142020.indire.it/portale" TargetMode="External"/><Relationship Id="rId14" Type="http://schemas.openxmlformats.org/officeDocument/2006/relationships/hyperlink" Target="https://www.istruzione.it/pon/ponkit.html" TargetMode="External"/><Relationship Id="rId15" Type="http://schemas.openxmlformats.org/officeDocument/2006/relationships/image" Target="media/image5.jpeg"/><Relationship Id="rId16" Type="http://schemas.openxmlformats.org/officeDocument/2006/relationships/image" Target="media/image6.png"/><Relationship Id="rId1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dcterms:created xsi:type="dcterms:W3CDTF">2022-07-11T15:42:18Z</dcterms:created>
  <dcterms:modified xsi:type="dcterms:W3CDTF">2022-07-11T15:42:18Z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2021-12-27T00:00:00Z</vt:filetime>
  </property>
  <property fmtid="{D5CDD505-2E9C-101B-9397-08002B2CF9AE}" pid="3" name="Creator">
    <vt:lpwstr>Microsoft® Word per Microsoft 365</vt:lpwstr>
  </property>
  <property fmtid="{D5CDD505-2E9C-101B-9397-08002B2CF9AE}" pid="4" name="LastSaved">
    <vt:filetime>2022-07-11T00:00:00Z</vt:filetime>
  </property>
</Properties>
</file>